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hint="eastAsia" w:ascii="方正小标宋简体" w:hAnsi="Times New Roman" w:eastAsia="方正小标宋简体"/>
          <w:b/>
          <w:bCs/>
          <w:sz w:val="44"/>
          <w:szCs w:val="44"/>
          <w:lang w:eastAsia="zh-CN"/>
        </w:rPr>
      </w:pPr>
      <w:r>
        <w:rPr>
          <w:rFonts w:hint="eastAsia" w:ascii="方正小标宋简体" w:hAnsi="Times New Roman" w:eastAsia="方正小标宋简体"/>
          <w:b/>
          <w:bCs/>
          <w:sz w:val="44"/>
          <w:szCs w:val="44"/>
          <w:lang w:eastAsia="zh-CN"/>
        </w:rPr>
        <w:t>宁波市</w:t>
      </w:r>
      <w:r>
        <w:rPr>
          <w:rFonts w:hint="eastAsia" w:ascii="方正小标宋简体" w:hAnsi="Times New Roman" w:eastAsia="方正小标宋简体"/>
          <w:b/>
          <w:bCs/>
          <w:sz w:val="44"/>
          <w:szCs w:val="44"/>
        </w:rPr>
        <w:t>镇海区</w:t>
      </w:r>
      <w:r>
        <w:rPr>
          <w:rFonts w:hint="eastAsia" w:ascii="方正小标宋简体" w:hAnsi="Times New Roman" w:eastAsia="方正小标宋简体"/>
          <w:b/>
          <w:bCs/>
          <w:sz w:val="44"/>
          <w:szCs w:val="44"/>
          <w:lang w:eastAsia="zh-CN"/>
        </w:rPr>
        <w:t>科学技术局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auto"/>
        <w:rPr>
          <w:rFonts w:ascii="方正小标宋简体" w:hAnsi="Times New Roman" w:eastAsia="方正小标宋简体"/>
          <w:sz w:val="44"/>
          <w:szCs w:val="44"/>
        </w:rPr>
      </w:pPr>
      <w:r>
        <w:rPr>
          <w:rFonts w:ascii="方正小标宋简体" w:hAnsi="Times New Roman" w:eastAsia="方正小标宋简体"/>
          <w:b/>
          <w:bCs/>
          <w:sz w:val="44"/>
          <w:szCs w:val="44"/>
        </w:rPr>
        <w:t>20</w:t>
      </w:r>
      <w:r>
        <w:rPr>
          <w:rFonts w:hint="eastAsia" w:ascii="方正小标宋简体" w:hAnsi="Times New Roman" w:eastAsia="方正小标宋简体"/>
          <w:b/>
          <w:bCs/>
          <w:sz w:val="44"/>
          <w:szCs w:val="44"/>
          <w:lang w:val="en-US" w:eastAsia="zh-CN"/>
        </w:rPr>
        <w:t>21</w:t>
      </w:r>
      <w:r>
        <w:rPr>
          <w:rFonts w:hint="eastAsia" w:ascii="方正小标宋简体" w:hAnsi="Times New Roman" w:eastAsia="方正小标宋简体"/>
          <w:b/>
          <w:bCs/>
          <w:sz w:val="44"/>
          <w:szCs w:val="44"/>
        </w:rPr>
        <w:t>年政府信息公开工作年度报告</w:t>
      </w:r>
    </w:p>
    <w:p>
      <w:pPr>
        <w:pStyle w:val="7"/>
        <w:widowControl/>
        <w:spacing w:before="0" w:beforeAutospacing="0" w:after="0" w:afterAutospacing="0" w:line="560" w:lineRule="exact"/>
        <w:ind w:firstLine="420"/>
        <w:jc w:val="both"/>
        <w:rPr>
          <w:rFonts w:ascii="Times New Roman" w:hAnsi="Times New Roman"/>
          <w:szCs w:val="32"/>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Cs w:val="32"/>
          <w:lang w:val="en-US" w:eastAsia="zh-CN"/>
        </w:rPr>
        <w:t>编制说明：本年度报告根据《中华人民共和国政府信息公开条例》（国务院令第711号）和</w:t>
      </w:r>
      <w:r>
        <w:rPr>
          <w:rFonts w:hint="default" w:ascii="Times New Roman" w:hAnsi="Times New Roman" w:eastAsia="仿宋_GB2312" w:cs="Times New Roman"/>
          <w:spacing w:val="-4"/>
          <w:kern w:val="2"/>
          <w:lang w:val="en-US" w:eastAsia="zh-CN"/>
        </w:rPr>
        <w:t>《国务院办公厅政府信息与政务公开办公室关于印发中华人民共和国政府信息公开工作年度报告格式的通知》（国办公开办函〔2021〕30号</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Cs w:val="32"/>
          <w:lang w:val="en-US" w:eastAsia="zh-CN"/>
        </w:rPr>
        <w:t>要求，结合宁波市镇海区科学技术局2021年度政府信息公开工作实际编制。全文包含</w:t>
      </w:r>
      <w:r>
        <w:rPr>
          <w:rFonts w:hint="default" w:ascii="Times New Roman" w:hAnsi="Times New Roman" w:eastAsia="仿宋_GB2312" w:cs="Times New Roman"/>
          <w:spacing w:val="-4"/>
          <w:kern w:val="2"/>
          <w:lang w:val="en-US" w:eastAsia="zh-CN"/>
        </w:rPr>
        <w:t>总体情况、主动公开政府信息情况、收到和处理政府信息公开申请情况、政府信息公开行政复议和行政诉讼情况、存在的主要问题及改进情况、其他需要报告的事项</w:t>
      </w:r>
      <w:r>
        <w:rPr>
          <w:rFonts w:hint="default" w:ascii="Times New Roman" w:hAnsi="Times New Roman" w:eastAsia="仿宋_GB2312" w:cs="Times New Roman"/>
          <w:szCs w:val="32"/>
          <w:lang w:val="en-US" w:eastAsia="zh-CN"/>
        </w:rPr>
        <w:t>六个方面。</w:t>
      </w:r>
      <w:r>
        <w:rPr>
          <w:rFonts w:hint="default" w:ascii="Times New Roman" w:hAnsi="Times New Roman" w:eastAsia="仿宋_GB2312" w:cs="Times New Roman"/>
          <w:szCs w:val="32"/>
          <w:lang w:eastAsia="zh-CN"/>
        </w:rPr>
        <w:t>本报告中所列数据的统计期限从202</w:t>
      </w:r>
      <w:r>
        <w:rPr>
          <w:rFonts w:hint="default" w:ascii="Times New Roman" w:hAnsi="Times New Roman" w:eastAsia="仿宋_GB2312" w:cs="Times New Roman"/>
          <w:szCs w:val="32"/>
          <w:lang w:val="en-US" w:eastAsia="zh-CN"/>
        </w:rPr>
        <w:t>1</w:t>
      </w:r>
      <w:r>
        <w:rPr>
          <w:rFonts w:hint="default" w:ascii="Times New Roman" w:hAnsi="Times New Roman" w:eastAsia="仿宋_GB2312" w:cs="Times New Roman"/>
          <w:szCs w:val="32"/>
          <w:lang w:eastAsia="zh-CN"/>
        </w:rPr>
        <w:t>年1月1日到1</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eastAsia="zh-CN"/>
        </w:rPr>
        <w:t>月31日止。如对本报告所涉内容有咨询或疑问，请与宁波市镇海区</w:t>
      </w:r>
      <w:r>
        <w:rPr>
          <w:rFonts w:hint="default" w:ascii="Times New Roman" w:hAnsi="Times New Roman" w:eastAsia="仿宋_GB2312" w:cs="Times New Roman"/>
          <w:szCs w:val="32"/>
          <w:lang w:val="en-US" w:eastAsia="zh-CN"/>
        </w:rPr>
        <w:t>科学技术局</w:t>
      </w:r>
      <w:r>
        <w:rPr>
          <w:rFonts w:hint="default" w:ascii="Times New Roman" w:hAnsi="Times New Roman" w:eastAsia="仿宋_GB2312" w:cs="Times New Roman"/>
          <w:szCs w:val="32"/>
          <w:lang w:eastAsia="zh-CN"/>
        </w:rPr>
        <w:t>联系（地址：宁波市镇海区民和路</w:t>
      </w:r>
      <w:r>
        <w:rPr>
          <w:rFonts w:hint="default" w:ascii="Times New Roman" w:hAnsi="Times New Roman" w:eastAsia="仿宋_GB2312" w:cs="Times New Roman"/>
          <w:szCs w:val="32"/>
          <w:lang w:val="en-US" w:eastAsia="zh-CN"/>
        </w:rPr>
        <w:t>569号C3七楼</w:t>
      </w:r>
      <w:r>
        <w:rPr>
          <w:rFonts w:hint="default" w:ascii="Times New Roman" w:hAnsi="Times New Roman" w:eastAsia="仿宋_GB2312" w:cs="Times New Roman"/>
          <w:szCs w:val="32"/>
          <w:lang w:eastAsia="zh-CN"/>
        </w:rPr>
        <w:t>，邮编：315</w:t>
      </w: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lang w:eastAsia="zh-CN"/>
        </w:rPr>
        <w:t>00</w:t>
      </w:r>
      <w:r>
        <w:rPr>
          <w:rFonts w:hint="default" w:ascii="Times New Roman" w:hAnsi="Times New Roman" w:eastAsia="仿宋_GB2312" w:cs="Times New Roman"/>
          <w:szCs w:val="32"/>
          <w:lang w:val="en-US" w:eastAsia="zh-CN"/>
        </w:rPr>
        <w:t>,</w:t>
      </w:r>
      <w:r>
        <w:rPr>
          <w:rFonts w:hint="default" w:ascii="Times New Roman" w:hAnsi="Times New Roman" w:eastAsia="仿宋_GB2312" w:cs="Times New Roman"/>
          <w:szCs w:val="32"/>
          <w:lang w:eastAsia="zh-CN"/>
        </w:rPr>
        <w:t>电话:0574-</w:t>
      </w:r>
      <w:r>
        <w:rPr>
          <w:rFonts w:hint="default" w:ascii="Times New Roman" w:hAnsi="Times New Roman" w:eastAsia="仿宋_GB2312" w:cs="Times New Roman"/>
          <w:color w:val="000000" w:themeColor="text1"/>
          <w:sz w:val="32"/>
          <w:szCs w:val="32"/>
          <w14:textFill>
            <w14:solidFill>
              <w14:schemeClr w14:val="tx1"/>
            </w14:solidFill>
          </w14:textFill>
        </w:rPr>
        <w:t>89287685</w:t>
      </w:r>
      <w:r>
        <w:rPr>
          <w:rFonts w:hint="default" w:ascii="Times New Roman" w:hAnsi="Times New Roman" w:eastAsia="仿宋_GB2312" w:cs="Times New Roman"/>
          <w:szCs w:val="32"/>
          <w:lang w:eastAsia="zh-CN"/>
        </w:rPr>
        <w:t>）。</w:t>
      </w:r>
    </w:p>
    <w:p>
      <w:pPr>
        <w:pStyle w:val="7"/>
        <w:widowControl/>
        <w:spacing w:before="0" w:beforeAutospacing="0" w:after="0" w:afterAutospacing="0" w:line="560" w:lineRule="exact"/>
        <w:ind w:firstLine="640" w:firstLineChars="200"/>
        <w:jc w:val="both"/>
        <w:rPr>
          <w:rFonts w:ascii="黑体" w:hAnsi="黑体" w:eastAsia="黑体"/>
          <w:b/>
          <w:bCs/>
          <w:szCs w:val="32"/>
        </w:rPr>
      </w:pPr>
      <w:r>
        <w:rPr>
          <w:rFonts w:hint="eastAsia" w:ascii="黑体" w:hAnsi="黑体" w:eastAsia="黑体"/>
          <w:b/>
          <w:bCs/>
          <w:szCs w:val="32"/>
        </w:rPr>
        <w:t>一、总体情况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年以来，区</w:t>
      </w:r>
      <w:r>
        <w:rPr>
          <w:rFonts w:hint="default" w:ascii="Times New Roman" w:hAnsi="Times New Roman" w:eastAsia="仿宋_GB2312" w:cs="Times New Roman"/>
          <w:sz w:val="32"/>
          <w:szCs w:val="32"/>
          <w:lang w:eastAsia="zh-CN"/>
        </w:rPr>
        <w:t>科技局</w:t>
      </w:r>
      <w:r>
        <w:rPr>
          <w:rFonts w:hint="default" w:ascii="Times New Roman" w:hAnsi="Times New Roman" w:eastAsia="仿宋_GB2312" w:cs="Times New Roman"/>
          <w:color w:val="000000" w:themeColor="text1"/>
          <w:sz w:val="32"/>
          <w:szCs w:val="32"/>
          <w14:textFill>
            <w14:solidFill>
              <w14:schemeClr w14:val="tx1"/>
            </w14:solidFill>
          </w14:textFill>
        </w:rPr>
        <w:t>在区委区政府的领导下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z w:val="32"/>
          <w:szCs w:val="32"/>
        </w:rPr>
        <w:t>紧紧围绕</w:t>
      </w:r>
      <w:r>
        <w:rPr>
          <w:rFonts w:hint="default" w:ascii="Times New Roman" w:hAnsi="Times New Roman" w:eastAsia="仿宋_GB2312" w:cs="Times New Roman"/>
          <w:sz w:val="32"/>
          <w:szCs w:val="32"/>
          <w:lang w:eastAsia="zh-CN"/>
        </w:rPr>
        <w:t>区政府</w:t>
      </w:r>
      <w:r>
        <w:rPr>
          <w:rFonts w:hint="default" w:ascii="Times New Roman" w:hAnsi="Times New Roman" w:eastAsia="仿宋_GB2312" w:cs="Times New Roman"/>
          <w:sz w:val="32"/>
          <w:szCs w:val="32"/>
        </w:rPr>
        <w:t>有关政务公开工作的文件精神，</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《宁波市镇海区人民政府办公室关于印发2021年镇海区政务公开工作要点的通知》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镇政办发〔2021〕32号</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坚持以公开为常态，以不公开为例外的原则，</w:t>
      </w:r>
      <w:r>
        <w:rPr>
          <w:rFonts w:hint="default" w:ascii="Times New Roman" w:hAnsi="Times New Roman" w:eastAsia="仿宋_GB2312" w:cs="Times New Roman"/>
          <w:sz w:val="32"/>
          <w:szCs w:val="32"/>
        </w:rPr>
        <w:t>扎实推</w:t>
      </w:r>
      <w:r>
        <w:rPr>
          <w:rFonts w:hint="default" w:ascii="Times New Roman" w:hAnsi="Times New Roman" w:eastAsia="仿宋_GB2312" w:cs="Times New Roman"/>
          <w:color w:val="auto"/>
          <w:sz w:val="32"/>
          <w:szCs w:val="32"/>
          <w:highlight w:val="none"/>
        </w:rPr>
        <w:t>进政府信息公开工作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rPr>
        <w:t>提升政务公开实效。</w:t>
      </w:r>
    </w:p>
    <w:p>
      <w:pPr>
        <w:keepNext w:val="0"/>
        <w:keepLines w:val="0"/>
        <w:pageBreakBefore w:val="0"/>
        <w:numPr>
          <w:ilvl w:val="0"/>
          <w:numId w:val="1"/>
        </w:numPr>
        <w:kinsoku/>
        <w:wordWrap/>
        <w:overflowPunct/>
        <w:topLinePunct w:val="0"/>
        <w:autoSpaceDE/>
        <w:autoSpaceDN/>
        <w:bidi w:val="0"/>
        <w:adjustRightInd/>
        <w:snapToGrid/>
        <w:spacing w:line="560" w:lineRule="exact"/>
        <w:ind w:left="330" w:leftChars="0" w:firstLine="510" w:firstLineChars="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主动公开政务情况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主动公开政府信息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266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其中：94条在政府网站公开</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172条在创新镇海微信公众号上公开。</w:t>
      </w:r>
    </w:p>
    <w:p>
      <w:pPr>
        <w:keepNext w:val="0"/>
        <w:keepLines w:val="0"/>
        <w:pageBreakBefore w:val="0"/>
        <w:numPr>
          <w:ilvl w:val="0"/>
          <w:numId w:val="1"/>
        </w:numPr>
        <w:kinsoku/>
        <w:wordWrap/>
        <w:overflowPunct/>
        <w:topLinePunct w:val="0"/>
        <w:autoSpaceDE/>
        <w:autoSpaceDN/>
        <w:bidi w:val="0"/>
        <w:adjustRightInd/>
        <w:snapToGrid/>
        <w:spacing w:line="560" w:lineRule="exact"/>
        <w:ind w:left="330" w:leftChars="0" w:firstLine="510" w:firstLineChars="0"/>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依申请公开信息情况</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 xml:space="preserve"> 全年没有收到公民和组织向我局递交的信息公开申请。</w:t>
      </w:r>
      <w:r>
        <w:rPr>
          <w:rFonts w:hint="eastAsia" w:ascii="Times New Roman" w:hAnsi="Times New Roman"/>
          <w:szCs w:val="32"/>
          <w:lang w:eastAsia="zh-CN"/>
        </w:rPr>
        <w:t>无</w:t>
      </w:r>
      <w:r>
        <w:rPr>
          <w:rFonts w:hint="eastAsia" w:ascii="仿宋_GB2312" w:hAnsi="仿宋_GB2312" w:eastAsia="仿宋_GB2312" w:cs="仿宋_GB2312"/>
          <w:szCs w:val="32"/>
          <w:lang w:eastAsia="zh-CN"/>
        </w:rPr>
        <w:t>因政府信息公开引起的行政复议</w:t>
      </w:r>
      <w:r>
        <w:rPr>
          <w:rFonts w:hint="eastAsia" w:ascii="仿宋_GB2312" w:hAnsi="仿宋_GB2312" w:cs="仿宋_GB2312"/>
          <w:szCs w:val="32"/>
          <w:lang w:eastAsia="zh-CN"/>
        </w:rPr>
        <w:t>或</w:t>
      </w:r>
      <w:r>
        <w:rPr>
          <w:rFonts w:hint="eastAsia" w:ascii="仿宋_GB2312" w:hAnsi="仿宋_GB2312" w:eastAsia="仿宋_GB2312" w:cs="仿宋_GB2312"/>
          <w:szCs w:val="32"/>
          <w:lang w:eastAsia="zh-CN"/>
        </w:rPr>
        <w:t>诉讼。</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（三）政府信息管理情况</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lang w:val="en-US" w:eastAsia="zh-CN"/>
        </w:rPr>
        <w:t>在政府网站公开平台上，及时更新“机构概况”栏目；</w:t>
      </w:r>
      <w:r>
        <w:rPr>
          <w:rFonts w:hint="default" w:ascii="Times New Roman" w:hAnsi="Times New Roman" w:eastAsia="仿宋_GB2312" w:cs="Times New Roman"/>
          <w:color w:val="000000" w:themeColor="text1"/>
          <w:sz w:val="32"/>
          <w:szCs w:val="32"/>
          <w14:textFill>
            <w14:solidFill>
              <w14:schemeClr w14:val="tx1"/>
            </w14:solidFill>
          </w14:textFill>
        </w:rPr>
        <w:t>公开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各类</w:t>
      </w:r>
      <w:r>
        <w:rPr>
          <w:rFonts w:hint="default" w:ascii="Times New Roman" w:hAnsi="Times New Roman" w:eastAsia="仿宋_GB2312" w:cs="Times New Roman"/>
          <w:color w:val="000000" w:themeColor="text1"/>
          <w:sz w:val="32"/>
          <w:szCs w:val="32"/>
          <w14:textFill>
            <w14:solidFill>
              <w14:schemeClr w14:val="tx1"/>
            </w14:solidFill>
          </w14:textFill>
        </w:rPr>
        <w:t>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94</w:t>
      </w:r>
      <w:r>
        <w:rPr>
          <w:rFonts w:hint="default" w:ascii="Times New Roman" w:hAnsi="Times New Roman" w:eastAsia="仿宋_GB2312"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其中：</w:t>
      </w:r>
      <w:r>
        <w:rPr>
          <w:rFonts w:hint="default" w:ascii="Times New Roman" w:hAnsi="Times New Roman" w:eastAsia="仿宋_GB2312" w:cs="Times New Roman"/>
          <w:color w:val="000000" w:themeColor="text1"/>
          <w:sz w:val="32"/>
          <w:szCs w:val="32"/>
          <w14:textFill>
            <w14:solidFill>
              <w14:schemeClr w14:val="tx1"/>
            </w14:solidFill>
          </w14:textFill>
        </w:rPr>
        <w:t>工作信息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73</w:t>
      </w:r>
      <w:r>
        <w:rPr>
          <w:rFonts w:hint="default" w:ascii="Times New Roman" w:hAnsi="Times New Roman" w:eastAsia="仿宋_GB2312" w:cs="Times New Roman"/>
          <w:color w:val="000000" w:themeColor="text1"/>
          <w:sz w:val="32"/>
          <w:szCs w:val="32"/>
          <w14:textFill>
            <w14:solidFill>
              <w14:schemeClr w14:val="tx1"/>
            </w14:solidFill>
          </w14:textFill>
        </w:rPr>
        <w:t>条，财政信息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条，其他文件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条，人事信息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，建议提案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5条，重大行政决策4条</w:t>
      </w:r>
      <w:r>
        <w:rPr>
          <w:rFonts w:hint="default"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移交档案馆信息目录1条</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在创新镇海微信公众号上公开</w:t>
      </w:r>
      <w:r>
        <w:rPr>
          <w:rFonts w:hint="default" w:ascii="Times New Roman" w:hAnsi="Times New Roman" w:cs="Times New Roman"/>
          <w:color w:val="000000" w:themeColor="text1"/>
          <w:sz w:val="32"/>
          <w:szCs w:val="32"/>
          <w:lang w:val="en-US" w:eastAsia="zh-CN"/>
          <w14:textFill>
            <w14:solidFill>
              <w14:schemeClr w14:val="tx1"/>
            </w14:solidFill>
          </w14:textFill>
        </w:rPr>
        <w:t>172条。</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（四）政务平台建设情况</w:t>
      </w:r>
    </w:p>
    <w:p>
      <w:pPr>
        <w:keepNext w:val="0"/>
        <w:keepLines w:val="0"/>
        <w:pageBreakBefore w:val="0"/>
        <w:kinsoku/>
        <w:wordWrap/>
        <w:overflowPunct/>
        <w:topLinePunct w:val="0"/>
        <w:autoSpaceDE/>
        <w:autoSpaceDN/>
        <w:bidi w:val="0"/>
        <w:adjustRightInd/>
        <w:snapToGrid/>
        <w:spacing w:line="560" w:lineRule="exact"/>
        <w:ind w:firstLine="51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本年度，我局除了在政府网站信息公开栏处公开各类信息外，还通过创新镇海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微信</w:t>
      </w:r>
      <w:r>
        <w:rPr>
          <w:rFonts w:hint="default" w:ascii="Times New Roman" w:hAnsi="Times New Roman" w:eastAsia="仿宋_GB2312" w:cs="Times New Roman"/>
          <w:color w:val="000000" w:themeColor="text1"/>
          <w:sz w:val="32"/>
          <w:szCs w:val="32"/>
          <w14:textFill>
            <w14:solidFill>
              <w14:schemeClr w14:val="tx1"/>
            </w14:solidFill>
          </w14:textFill>
        </w:rPr>
        <w:t>公众号等新闻传播平台，推送与科技相关的各类信息。经统计，在创新镇海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微信</w:t>
      </w:r>
      <w:r>
        <w:rPr>
          <w:rFonts w:hint="default" w:ascii="Times New Roman" w:hAnsi="Times New Roman" w:eastAsia="仿宋_GB2312" w:cs="Times New Roman"/>
          <w:color w:val="000000" w:themeColor="text1"/>
          <w:sz w:val="32"/>
          <w:szCs w:val="32"/>
          <w14:textFill>
            <w14:solidFill>
              <w14:schemeClr w14:val="tx1"/>
            </w14:solidFill>
          </w14:textFill>
        </w:rPr>
        <w:t>公众号上发布各类动态信息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172</w:t>
      </w:r>
      <w:r>
        <w:rPr>
          <w:rFonts w:hint="default" w:ascii="Times New Roman" w:hAnsi="Times New Roman" w:eastAsia="仿宋_GB2312" w:cs="Times New Roman"/>
          <w:color w:val="000000" w:themeColor="text1"/>
          <w:sz w:val="32"/>
          <w:szCs w:val="32"/>
          <w14:textFill>
            <w14:solidFill>
              <w14:schemeClr w14:val="tx1"/>
            </w14:solidFill>
          </w14:textFill>
        </w:rPr>
        <w:t>条。</w:t>
      </w:r>
    </w:p>
    <w:p>
      <w:pPr>
        <w:pStyle w:val="7"/>
        <w:keepNext w:val="0"/>
        <w:keepLines w:val="0"/>
        <w:pageBreakBefore w:val="0"/>
        <w:widowControl/>
        <w:kinsoku/>
        <w:wordWrap/>
        <w:overflowPunct/>
        <w:topLinePunct w:val="0"/>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（五）监督保障情况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强化信息公开监督，自觉接受群众和社会的监督，以公开工作监督电话等形式主动接受社会各界的监督。同时对拟公开的政府信息进行严格审查，确保政府信息公开工作的开展有章可循、有据可依。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宁波市</w:t>
      </w:r>
      <w:r>
        <w:rPr>
          <w:rFonts w:hint="default" w:ascii="Times New Roman" w:hAnsi="Times New Roman" w:eastAsia="仿宋_GB2312" w:cs="Times New Roman"/>
          <w:color w:val="000000" w:themeColor="text1"/>
          <w:sz w:val="32"/>
          <w:szCs w:val="32"/>
          <w14:textFill>
            <w14:solidFill>
              <w14:schemeClr w14:val="tx1"/>
            </w14:solidFill>
          </w14:textFill>
        </w:rPr>
        <w:t>镇海区科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14:textFill>
            <w14:solidFill>
              <w14:schemeClr w14:val="tx1"/>
            </w14:solidFill>
          </w14:textFill>
        </w:rPr>
        <w:t>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术</w:t>
      </w:r>
      <w:r>
        <w:rPr>
          <w:rFonts w:hint="default" w:ascii="Times New Roman" w:hAnsi="Times New Roman" w:eastAsia="仿宋_GB2312" w:cs="Times New Roman"/>
          <w:color w:val="000000" w:themeColor="text1"/>
          <w:sz w:val="32"/>
          <w:szCs w:val="32"/>
          <w14:textFill>
            <w14:solidFill>
              <w14:schemeClr w14:val="tx1"/>
            </w14:solidFill>
          </w14:textFill>
        </w:rPr>
        <w:t>局政务公开工作监督电话：0574-89287685。</w:t>
      </w:r>
    </w:p>
    <w:p>
      <w:pPr>
        <w:pStyle w:val="7"/>
        <w:widowControl/>
        <w:spacing w:before="0" w:beforeAutospacing="0" w:after="0" w:afterAutospacing="0" w:line="560" w:lineRule="exact"/>
        <w:ind w:firstLine="640" w:firstLineChars="200"/>
        <w:jc w:val="both"/>
        <w:rPr>
          <w:rFonts w:hint="default" w:ascii="Times New Roman" w:hAnsi="Times New Roman" w:eastAsia="黑体" w:cs="Times New Roman"/>
          <w:b/>
          <w:bCs/>
          <w:szCs w:val="32"/>
        </w:rPr>
      </w:pPr>
      <w:r>
        <w:rPr>
          <w:rFonts w:hint="default" w:ascii="Times New Roman" w:hAnsi="Times New Roman" w:eastAsia="黑体" w:cs="Times New Roman"/>
          <w:b/>
          <w:bCs/>
          <w:szCs w:val="32"/>
        </w:rPr>
        <w:t>二、主动公开政府信息情况</w:t>
      </w:r>
    </w:p>
    <w:p>
      <w:pPr>
        <w:pStyle w:val="7"/>
        <w:widowControl/>
        <w:spacing w:before="0" w:beforeAutospacing="0" w:after="0" w:afterAutospacing="0" w:line="560" w:lineRule="exact"/>
        <w:ind w:firstLine="640" w:firstLineChars="20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1.不同渠道方式主动公开及回应解读总体情况</w:t>
      </w:r>
    </w:p>
    <w:tbl>
      <w:tblPr>
        <w:tblStyle w:val="8"/>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778"/>
        <w:gridCol w:w="164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bookmarkStart w:id="0" w:name="_Hlk26876326"/>
            <w:r>
              <w:rPr>
                <w:rFonts w:hint="default" w:ascii="Times New Roman" w:hAnsi="Times New Roman" w:eastAsia="仿宋_GB2312" w:cs="Times New Roman"/>
                <w:snapToGrid w:val="0"/>
                <w:spacing w:val="-4"/>
                <w:kern w:val="0"/>
                <w:sz w:val="24"/>
                <w:szCs w:val="24"/>
              </w:rPr>
              <w:t>统　计　指　标</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单位</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（一）主动公开政府信息数</w:t>
            </w:r>
          </w:p>
          <w:p>
            <w:pPr>
              <w:widowControl/>
              <w:spacing w:line="360" w:lineRule="exact"/>
              <w:ind w:firstLine="1044" w:firstLineChars="450"/>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（不同渠道和方式公开相同信息计1条）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266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（二）通过不同渠道和方式公开政府信息的情况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1.政府公报公开政府信息数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2.政府网站公开政府信息数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3.政务微博公开政府信息数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4.政务微信公开政府信息数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172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5.其他方式公开政府信息数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（三）回应公众关注热点或重大舆情数</w:t>
            </w:r>
          </w:p>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（不同方式回应同一热点或舆情计1次）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（四）通过不同渠道和方式回应解读的情况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1.参加或举办新闻发布会总次数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其中：主要负责同志参加新闻发布会次数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2.政府网站在线访谈次数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其中：主要负责同志参加政府网站在线访谈次数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3.政策解读稿件发布数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篇</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lang w:val="en-US" w:eastAsia="zh-CN"/>
              </w:rPr>
            </w:pPr>
            <w:r>
              <w:rPr>
                <w:rFonts w:hint="default" w:ascii="Times New Roman" w:hAnsi="Times New Roman" w:eastAsia="仿宋_GB2312" w:cs="Times New Roman"/>
                <w:snapToGrid w:val="0"/>
                <w:spacing w:val="-4"/>
                <w:kern w:val="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4.微博微信回应事件数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　　　　　5.其他方式回应事件数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hint="default" w:ascii="Times New Roman" w:hAnsi="Times New Roman" w:eastAsia="仿宋_GB2312" w:cs="Times New Roman"/>
                <w:snapToGrid w:val="0"/>
                <w:spacing w:val="-4"/>
                <w:kern w:val="0"/>
                <w:sz w:val="24"/>
                <w:szCs w:val="24"/>
              </w:rPr>
            </w:pPr>
            <w:r>
              <w:rPr>
                <w:rFonts w:hint="default" w:ascii="Times New Roman" w:hAnsi="Times New Roman" w:eastAsia="仿宋_GB2312" w:cs="Times New Roman"/>
                <w:snapToGrid w:val="0"/>
                <w:spacing w:val="-4"/>
                <w:kern w:val="0"/>
                <w:sz w:val="24"/>
                <w:szCs w:val="24"/>
              </w:rPr>
              <w:t>0</w:t>
            </w:r>
          </w:p>
        </w:tc>
      </w:tr>
      <w:bookmarkEnd w:id="0"/>
    </w:tbl>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2.主动公开政府信息具体情况</w:t>
      </w:r>
    </w:p>
    <w:tbl>
      <w:tblPr>
        <w:tblStyle w:val="8"/>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第二十条第（一）项</w:t>
            </w:r>
          </w:p>
        </w:tc>
      </w:tr>
      <w:tr>
        <w:tblPrEx>
          <w:tblLayout w:type="fixed"/>
          <w:tblCellMar>
            <w:top w:w="0" w:type="dxa"/>
            <w:left w:w="0" w:type="dxa"/>
            <w:bottom w:w="0" w:type="dxa"/>
            <w:right w:w="0" w:type="dxa"/>
          </w:tblCellMar>
        </w:tblPrEx>
        <w:trPr>
          <w:trHeight w:val="597"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本年新</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本年新</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对外公开总数量</w:t>
            </w:r>
          </w:p>
        </w:tc>
      </w:tr>
      <w:tr>
        <w:tblPrEx>
          <w:tblLayout w:type="fixed"/>
          <w:tblCellMar>
            <w:top w:w="0" w:type="dxa"/>
            <w:left w:w="0" w:type="dxa"/>
            <w:bottom w:w="0" w:type="dxa"/>
            <w:right w:w="0" w:type="dxa"/>
          </w:tblCellMar>
        </w:tblPrEx>
        <w:trPr>
          <w:trHeight w:val="14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246"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第二十条第（五）项</w:t>
            </w:r>
          </w:p>
        </w:tc>
      </w:tr>
      <w:tr>
        <w:tblPrEx>
          <w:tblLayout w:type="fixed"/>
          <w:tblCellMar>
            <w:top w:w="0" w:type="dxa"/>
            <w:left w:w="0" w:type="dxa"/>
            <w:bottom w:w="0" w:type="dxa"/>
            <w:right w:w="0" w:type="dxa"/>
          </w:tblCellMar>
        </w:tblPrEx>
        <w:trPr>
          <w:trHeight w:val="34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处理决定数量</w:t>
            </w:r>
          </w:p>
        </w:tc>
      </w:tr>
      <w:tr>
        <w:tblPrEx>
          <w:tblLayout w:type="fixed"/>
          <w:tblCellMar>
            <w:top w:w="0" w:type="dxa"/>
            <w:left w:w="0" w:type="dxa"/>
            <w:bottom w:w="0" w:type="dxa"/>
            <w:right w:w="0" w:type="dxa"/>
          </w:tblCellMar>
        </w:tblPrEx>
        <w:trPr>
          <w:trHeight w:val="39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29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处理决定数量</w:t>
            </w:r>
          </w:p>
        </w:tc>
      </w:tr>
      <w:tr>
        <w:tblPrEx>
          <w:tblLayout w:type="fixed"/>
          <w:tblCellMar>
            <w:top w:w="0" w:type="dxa"/>
            <w:left w:w="0" w:type="dxa"/>
            <w:bottom w:w="0" w:type="dxa"/>
            <w:right w:w="0" w:type="dxa"/>
          </w:tblCellMar>
        </w:tblPrEx>
        <w:trPr>
          <w:trHeight w:val="28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16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本年增/减</w:t>
            </w:r>
          </w:p>
        </w:tc>
      </w:tr>
      <w:tr>
        <w:tblPrEx>
          <w:tblLayout w:type="fixed"/>
          <w:tblCellMar>
            <w:top w:w="0" w:type="dxa"/>
            <w:left w:w="0" w:type="dxa"/>
            <w:bottom w:w="0" w:type="dxa"/>
            <w:right w:w="0" w:type="dxa"/>
          </w:tblCellMar>
        </w:tblPrEx>
        <w:trPr>
          <w:trHeight w:val="206"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第二十条第（九）项</w:t>
            </w:r>
          </w:p>
        </w:tc>
      </w:tr>
      <w:tr>
        <w:tblPrEx>
          <w:tblLayout w:type="fixed"/>
          <w:tblCellMar>
            <w:top w:w="0" w:type="dxa"/>
            <w:left w:w="0" w:type="dxa"/>
            <w:bottom w:w="0" w:type="dxa"/>
            <w:right w:w="0" w:type="dxa"/>
          </w:tblCellMar>
        </w:tblPrEx>
        <w:trPr>
          <w:trHeight w:val="31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采购总金额</w:t>
            </w:r>
          </w:p>
        </w:tc>
      </w:tr>
      <w:tr>
        <w:tblPrEx>
          <w:tblLayout w:type="fixed"/>
          <w:tblCellMar>
            <w:top w:w="0" w:type="dxa"/>
            <w:left w:w="0" w:type="dxa"/>
            <w:bottom w:w="0" w:type="dxa"/>
            <w:right w:w="0" w:type="dxa"/>
          </w:tblCellMar>
        </w:tblPrEx>
        <w:trPr>
          <w:trHeight w:val="22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0</w:t>
            </w:r>
          </w:p>
        </w:tc>
      </w:tr>
    </w:tbl>
    <w:p>
      <w:pPr>
        <w:pStyle w:val="7"/>
        <w:widowControl/>
        <w:spacing w:before="0" w:beforeAutospacing="0" w:after="0" w:afterAutospacing="0" w:line="240" w:lineRule="exact"/>
        <w:ind w:firstLine="420"/>
        <w:jc w:val="both"/>
        <w:rPr>
          <w:rFonts w:hint="default" w:ascii="Times New Roman" w:hAnsi="Times New Roman" w:cs="Times New Roman"/>
          <w:szCs w:val="32"/>
        </w:rPr>
      </w:pPr>
    </w:p>
    <w:p>
      <w:pPr>
        <w:pStyle w:val="7"/>
        <w:widowControl/>
        <w:spacing w:before="0" w:beforeAutospacing="0" w:after="0" w:afterAutospacing="0" w:line="560" w:lineRule="exact"/>
        <w:ind w:firstLine="420"/>
        <w:jc w:val="both"/>
        <w:rPr>
          <w:rFonts w:hint="default" w:ascii="Times New Roman" w:hAnsi="Times New Roman" w:eastAsia="黑体" w:cs="Times New Roman"/>
          <w:szCs w:val="32"/>
          <w:lang w:eastAsia="zh-CN"/>
        </w:rPr>
      </w:pPr>
      <w:r>
        <w:rPr>
          <w:rFonts w:hint="default" w:ascii="Times New Roman" w:hAnsi="Times New Roman" w:eastAsia="黑体" w:cs="Times New Roman"/>
          <w:szCs w:val="32"/>
        </w:rPr>
        <w:t>三、收到和处理政府信息公开申请情况</w:t>
      </w:r>
      <w:r>
        <w:rPr>
          <w:rFonts w:hint="default" w:ascii="Times New Roman" w:hAnsi="Times New Roman" w:eastAsia="黑体" w:cs="Times New Roman"/>
          <w:szCs w:val="32"/>
          <w:lang w:eastAsia="zh-CN"/>
        </w:rPr>
        <w:t>（无）</w:t>
      </w:r>
    </w:p>
    <w:tbl>
      <w:tblPr>
        <w:tblStyle w:val="8"/>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restart"/>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（本列数据的勾稽关系为：第一项加第二项之和，等于第三项加第四项之和）</w:t>
            </w:r>
          </w:p>
        </w:tc>
        <w:tc>
          <w:tcPr>
            <w:tcW w:w="5513" w:type="dxa"/>
            <w:gridSpan w:val="7"/>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14" w:type="dxa"/>
            <w:vMerge w:val="restart"/>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自然人</w:t>
            </w:r>
          </w:p>
        </w:tc>
        <w:tc>
          <w:tcPr>
            <w:tcW w:w="4010" w:type="dxa"/>
            <w:gridSpan w:val="5"/>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法人或其他组织</w:t>
            </w:r>
          </w:p>
        </w:tc>
        <w:tc>
          <w:tcPr>
            <w:tcW w:w="689" w:type="dxa"/>
            <w:vMerge w:val="restart"/>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1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商业企业</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科研机构</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社会公益组织</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法律服务机构</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其他</w:t>
            </w:r>
          </w:p>
        </w:tc>
        <w:tc>
          <w:tcPr>
            <w:tcW w:w="689"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一、本年新收政府信息公开申请数量</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二、上年结转政府信息公开申请数量</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三、本年度办理结果</w:t>
            </w:r>
          </w:p>
        </w:tc>
        <w:tc>
          <w:tcPr>
            <w:tcW w:w="2940" w:type="dxa"/>
            <w:gridSpan w:val="2"/>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（一）予以公开</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940" w:type="dxa"/>
            <w:gridSpan w:val="2"/>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（二）部分公开（区分处理的，只计这一情形，不计其他情形）</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restart"/>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（三）不予公开</w:t>
            </w: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1.属于国家秘密</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2.其他法律行政法规禁止公开</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3.危及“三安全一稳定”</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4.保护第三方合法权益</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5.属于三类内部事务信息</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6.属于四类过程性信息</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7.属于行政执法案卷</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8.属于行政查询事项</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restart"/>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（四）无法提供</w:t>
            </w: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1.本机关不掌握相关政府信息</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2.没有现成信息需要另行制作</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3.补正后申请内容仍不明确</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restart"/>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（五）不予处理</w:t>
            </w: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1.信访举报投诉类申请</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2.重复申请</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3.要求提供公开出版物</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4.无正当理由大量反复申请</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854"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086" w:type="dxa"/>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5.要求行政机关确认或重新出具已获取信息</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940" w:type="dxa"/>
            <w:gridSpan w:val="2"/>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（六）其他处理</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2940" w:type="dxa"/>
            <w:gridSpan w:val="2"/>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（七）总计</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四、结转下年度继续办理</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55"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81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974"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712"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c>
          <w:tcPr>
            <w:tcW w:w="689" w:type="dxa"/>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w:t>
            </w:r>
          </w:p>
        </w:tc>
      </w:tr>
    </w:tbl>
    <w:p>
      <w:pPr>
        <w:pStyle w:val="7"/>
        <w:widowControl/>
        <w:spacing w:before="0" w:beforeAutospacing="0" w:after="0" w:afterAutospacing="0" w:line="560" w:lineRule="exact"/>
        <w:ind w:firstLine="420"/>
        <w:jc w:val="both"/>
        <w:rPr>
          <w:rFonts w:hint="default" w:ascii="Times New Roman" w:hAnsi="Times New Roman" w:eastAsia="黑体" w:cs="Times New Roman"/>
          <w:szCs w:val="32"/>
        </w:rPr>
      </w:pPr>
    </w:p>
    <w:p>
      <w:pPr>
        <w:pStyle w:val="7"/>
        <w:widowControl/>
        <w:spacing w:before="0" w:beforeAutospacing="0" w:after="0" w:afterAutospacing="0" w:line="560" w:lineRule="exact"/>
        <w:ind w:firstLine="420"/>
        <w:jc w:val="both"/>
        <w:rPr>
          <w:rFonts w:hint="default" w:ascii="Times New Roman" w:hAnsi="Times New Roman" w:eastAsia="黑体" w:cs="Times New Roman"/>
          <w:szCs w:val="32"/>
          <w:lang w:eastAsia="zh-CN"/>
        </w:rPr>
      </w:pPr>
      <w:r>
        <w:rPr>
          <w:rFonts w:hint="default" w:ascii="Times New Roman" w:hAnsi="Times New Roman" w:eastAsia="黑体" w:cs="Times New Roman"/>
          <w:szCs w:val="32"/>
        </w:rPr>
        <w:t>四、政府信息公开行政复议、行政诉讼情况</w:t>
      </w:r>
      <w:r>
        <w:rPr>
          <w:rFonts w:hint="default" w:ascii="Times New Roman" w:hAnsi="Times New Roman" w:eastAsia="黑体" w:cs="Times New Roman"/>
          <w:szCs w:val="32"/>
          <w:lang w:eastAsia="zh-CN"/>
        </w:rPr>
        <w:t>（无）</w:t>
      </w:r>
    </w:p>
    <w:tbl>
      <w:tblPr>
        <w:tblStyle w:val="8"/>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hint="default" w:ascii="Times New Roman" w:hAnsi="Times New Roman" w:eastAsia="仿宋_GB2312" w:cs="Times New Roman"/>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0 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 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w:t>
            </w:r>
          </w:p>
        </w:tc>
      </w:tr>
    </w:tbl>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szCs w:val="32"/>
          <w:lang w:val="en-US" w:eastAsia="zh-CN"/>
        </w:rPr>
      </w:pP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szCs w:val="32"/>
        </w:rPr>
      </w:pPr>
      <w:r>
        <w:rPr>
          <w:rFonts w:hint="default" w:ascii="Times New Roman" w:hAnsi="Times New Roman" w:eastAsia="黑体" w:cs="Times New Roman"/>
          <w:szCs w:val="32"/>
          <w:lang w:val="en-US" w:eastAsia="zh-CN"/>
        </w:rPr>
        <w:t>五、</w:t>
      </w:r>
      <w:r>
        <w:rPr>
          <w:rFonts w:hint="default" w:ascii="Times New Roman" w:hAnsi="Times New Roman" w:eastAsia="黑体" w:cs="Times New Roman"/>
          <w:szCs w:val="32"/>
        </w:rPr>
        <w:t>存在的主要问题及改进情况</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w:t>
      </w:r>
      <w:r>
        <w:rPr>
          <w:rFonts w:hint="default" w:ascii="Times New Roman" w:hAnsi="Times New Roman" w:cs="Times New Roman"/>
          <w:lang w:val="en-US" w:eastAsia="zh-CN"/>
        </w:rPr>
        <w:t>1</w:t>
      </w:r>
      <w:r>
        <w:rPr>
          <w:rFonts w:hint="default" w:ascii="Times New Roman" w:hAnsi="Times New Roman" w:eastAsia="仿宋_GB2312" w:cs="Times New Roman"/>
        </w:rPr>
        <w:t>年，我局政府信息公开工作</w:t>
      </w:r>
      <w:r>
        <w:rPr>
          <w:rFonts w:hint="default" w:ascii="Times New Roman" w:hAnsi="Times New Roman" w:cs="Times New Roman"/>
          <w:lang w:eastAsia="zh-CN"/>
        </w:rPr>
        <w:t>扎实推进</w:t>
      </w:r>
      <w:r>
        <w:rPr>
          <w:rFonts w:hint="default" w:ascii="Times New Roman" w:hAnsi="Times New Roman" w:eastAsia="仿宋_GB2312" w:cs="Times New Roman"/>
        </w:rPr>
        <w:t>，但在当前</w:t>
      </w:r>
      <w:r>
        <w:rPr>
          <w:rFonts w:hint="default" w:ascii="Times New Roman" w:hAnsi="Times New Roman" w:cs="Times New Roman"/>
          <w:lang w:eastAsia="zh-CN"/>
        </w:rPr>
        <w:t>政府</w:t>
      </w:r>
      <w:r>
        <w:rPr>
          <w:rFonts w:hint="default" w:ascii="Times New Roman" w:hAnsi="Times New Roman" w:eastAsia="仿宋_GB2312" w:cs="Times New Roman"/>
        </w:rPr>
        <w:t>信息公开工作</w:t>
      </w:r>
      <w:r>
        <w:rPr>
          <w:rFonts w:hint="default" w:ascii="Times New Roman" w:hAnsi="Times New Roman" w:cs="Times New Roman"/>
          <w:lang w:eastAsia="zh-CN"/>
        </w:rPr>
        <w:t>的新形式和新要求</w:t>
      </w:r>
      <w:r>
        <w:rPr>
          <w:rFonts w:hint="default" w:ascii="Times New Roman" w:hAnsi="Times New Roman" w:eastAsia="仿宋_GB2312" w:cs="Times New Roman"/>
        </w:rPr>
        <w:t>下，</w:t>
      </w:r>
      <w:r>
        <w:rPr>
          <w:rFonts w:hint="default" w:ascii="Times New Roman" w:hAnsi="Times New Roman" w:cs="Times New Roman"/>
          <w:lang w:eastAsia="zh-CN"/>
        </w:rPr>
        <w:t>还</w:t>
      </w:r>
      <w:r>
        <w:rPr>
          <w:rFonts w:hint="default" w:ascii="Times New Roman" w:hAnsi="Times New Roman" w:eastAsia="仿宋_GB2312" w:cs="Times New Roman"/>
        </w:rPr>
        <w:t>存在</w:t>
      </w:r>
      <w:r>
        <w:rPr>
          <w:rFonts w:hint="default" w:ascii="Times New Roman" w:hAnsi="Times New Roman" w:cs="Times New Roman"/>
          <w:lang w:eastAsia="zh-CN"/>
        </w:rPr>
        <w:t>一些</w:t>
      </w:r>
      <w:r>
        <w:rPr>
          <w:rFonts w:hint="default" w:ascii="Times New Roman" w:hAnsi="Times New Roman" w:eastAsia="仿宋_GB2312" w:cs="Times New Roman"/>
        </w:rPr>
        <w:t>不足</w:t>
      </w:r>
      <w:r>
        <w:rPr>
          <w:rFonts w:hint="default" w:ascii="Times New Roman" w:hAnsi="Times New Roman" w:cs="Times New Roman"/>
          <w:lang w:eastAsia="zh-CN"/>
        </w:rPr>
        <w:t>和</w:t>
      </w:r>
      <w:r>
        <w:rPr>
          <w:rFonts w:hint="default" w:ascii="Times New Roman" w:hAnsi="Times New Roman" w:eastAsia="仿宋_GB2312" w:cs="Times New Roman"/>
        </w:rPr>
        <w:t>差距，主要是对于新形势下</w:t>
      </w:r>
      <w:r>
        <w:rPr>
          <w:rFonts w:hint="default" w:ascii="Times New Roman" w:hAnsi="Times New Roman" w:cs="Times New Roman"/>
          <w:lang w:eastAsia="zh-CN"/>
        </w:rPr>
        <w:t>及时</w:t>
      </w:r>
      <w:r>
        <w:rPr>
          <w:rFonts w:hint="default" w:ascii="Times New Roman" w:hAnsi="Times New Roman" w:eastAsia="仿宋_GB2312" w:cs="Times New Roman"/>
        </w:rPr>
        <w:t>主动公开政府信息的</w:t>
      </w:r>
      <w:r>
        <w:rPr>
          <w:rFonts w:hint="default" w:ascii="Times New Roman" w:hAnsi="Times New Roman" w:cs="Times New Roman"/>
          <w:lang w:eastAsia="zh-CN"/>
        </w:rPr>
        <w:t>思想认识</w:t>
      </w:r>
      <w:r>
        <w:rPr>
          <w:rFonts w:hint="default" w:ascii="Times New Roman" w:hAnsi="Times New Roman" w:eastAsia="仿宋_GB2312" w:cs="Times New Roman"/>
        </w:rPr>
        <w:t>还需</w:t>
      </w:r>
      <w:r>
        <w:rPr>
          <w:rFonts w:hint="default" w:ascii="Times New Roman" w:hAnsi="Times New Roman" w:cs="Times New Roman"/>
          <w:lang w:eastAsia="zh-CN"/>
        </w:rPr>
        <w:t>进一步</w:t>
      </w:r>
      <w:r>
        <w:rPr>
          <w:rFonts w:hint="default" w:ascii="Times New Roman" w:hAnsi="Times New Roman" w:eastAsia="仿宋_GB2312" w:cs="Times New Roman"/>
        </w:rPr>
        <w:t>提高</w:t>
      </w:r>
      <w:r>
        <w:rPr>
          <w:rFonts w:hint="default" w:ascii="Times New Roman" w:hAnsi="Times New Roman" w:cs="Times New Roman"/>
          <w:lang w:eastAsia="zh-CN"/>
        </w:rPr>
        <w:t>，信息公开</w:t>
      </w:r>
      <w:r>
        <w:rPr>
          <w:rFonts w:hint="default" w:ascii="Times New Roman" w:hAnsi="Times New Roman" w:eastAsia="仿宋_GB2312" w:cs="Times New Roman"/>
        </w:rPr>
        <w:t>工作人员的能力和水平</w:t>
      </w:r>
      <w:r>
        <w:rPr>
          <w:rFonts w:hint="default" w:ascii="Times New Roman" w:hAnsi="Times New Roman" w:cs="Times New Roman"/>
          <w:lang w:eastAsia="zh-CN"/>
        </w:rPr>
        <w:t>还需</w:t>
      </w:r>
      <w:r>
        <w:rPr>
          <w:rFonts w:hint="default" w:ascii="Times New Roman" w:hAnsi="Times New Roman" w:eastAsia="仿宋_GB2312" w:cs="Times New Roman"/>
        </w:rPr>
        <w:t>提升。</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下步，我局将</w:t>
      </w:r>
      <w:r>
        <w:rPr>
          <w:rFonts w:hint="default" w:ascii="Times New Roman" w:hAnsi="Times New Roman" w:cs="Times New Roman"/>
          <w:lang w:eastAsia="zh-CN"/>
        </w:rPr>
        <w:t>深入</w:t>
      </w:r>
      <w:r>
        <w:rPr>
          <w:rFonts w:hint="default" w:ascii="Times New Roman" w:hAnsi="Times New Roman" w:eastAsia="仿宋_GB2312" w:cs="Times New Roman"/>
        </w:rPr>
        <w:t>贯彻落实新《条例》，并从以下两方面持续加以改进：一是</w:t>
      </w:r>
      <w:r>
        <w:rPr>
          <w:rFonts w:hint="default" w:ascii="Times New Roman" w:hAnsi="Times New Roman" w:cs="Times New Roman"/>
          <w:lang w:eastAsia="zh-CN"/>
        </w:rPr>
        <w:t>完善政府信息公开工作机制，进一步规范政府信息公开内容，加强政府信息发布、解读和回应工作</w:t>
      </w:r>
      <w:r>
        <w:rPr>
          <w:rFonts w:hint="default" w:ascii="Times New Roman" w:hAnsi="Times New Roman" w:eastAsia="仿宋_GB2312" w:cs="Times New Roman"/>
        </w:rPr>
        <w:t>；二是</w:t>
      </w:r>
      <w:r>
        <w:rPr>
          <w:rFonts w:hint="default" w:ascii="Times New Roman" w:hAnsi="Times New Roman" w:cs="Times New Roman"/>
          <w:lang w:eastAsia="zh-CN"/>
        </w:rPr>
        <w:t>构建政府</w:t>
      </w:r>
      <w:r>
        <w:rPr>
          <w:rFonts w:hint="default" w:ascii="Times New Roman" w:hAnsi="Times New Roman" w:eastAsia="仿宋_GB2312" w:cs="Times New Roman"/>
        </w:rPr>
        <w:t>信息公开工作精细化管理</w:t>
      </w:r>
      <w:r>
        <w:rPr>
          <w:rFonts w:hint="default" w:ascii="Times New Roman" w:hAnsi="Times New Roman" w:cs="Times New Roman"/>
          <w:lang w:eastAsia="zh-CN"/>
        </w:rPr>
        <w:t>机制</w:t>
      </w:r>
      <w:r>
        <w:rPr>
          <w:rFonts w:hint="default" w:ascii="Times New Roman" w:hAnsi="Times New Roman" w:eastAsia="仿宋_GB2312" w:cs="Times New Roman"/>
        </w:rPr>
        <w:t>，</w:t>
      </w:r>
      <w:r>
        <w:rPr>
          <w:rFonts w:hint="default" w:ascii="Times New Roman" w:hAnsi="Times New Roman" w:cs="Times New Roman"/>
          <w:lang w:eastAsia="zh-CN"/>
        </w:rPr>
        <w:t>完善</w:t>
      </w:r>
      <w:r>
        <w:rPr>
          <w:rFonts w:hint="default" w:ascii="Times New Roman" w:hAnsi="Times New Roman" w:eastAsia="仿宋_GB2312" w:cs="Times New Roman"/>
        </w:rPr>
        <w:t>工作流程，不断增强</w:t>
      </w:r>
      <w:r>
        <w:rPr>
          <w:rFonts w:hint="default" w:ascii="Times New Roman" w:hAnsi="Times New Roman" w:cs="Times New Roman"/>
          <w:lang w:eastAsia="zh-CN"/>
        </w:rPr>
        <w:t>全局</w:t>
      </w:r>
      <w:r>
        <w:rPr>
          <w:rFonts w:hint="default" w:ascii="Times New Roman" w:hAnsi="Times New Roman" w:eastAsia="仿宋_GB2312" w:cs="Times New Roman"/>
        </w:rPr>
        <w:t>政府信息公开工作</w:t>
      </w:r>
      <w:r>
        <w:rPr>
          <w:rFonts w:hint="default" w:ascii="Times New Roman" w:hAnsi="Times New Roman" w:cs="Times New Roman"/>
          <w:lang w:eastAsia="zh-CN"/>
        </w:rPr>
        <w:t>水平</w:t>
      </w:r>
      <w:r>
        <w:rPr>
          <w:rFonts w:hint="default" w:ascii="Times New Roman" w:hAnsi="Times New Roman" w:eastAsia="仿宋_GB2312" w:cs="Times New Roman"/>
        </w:rPr>
        <w:t>。</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六、其他需要报告的事项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szCs w:val="32"/>
          <w:lang w:val="en-US" w:eastAsia="zh-CN"/>
        </w:rPr>
        <w:t>2021年度，我局未收</w:t>
      </w:r>
      <w:bookmarkStart w:id="1" w:name="_GoBack"/>
      <w:bookmarkEnd w:id="1"/>
      <w:r>
        <w:rPr>
          <w:rFonts w:hint="default" w:ascii="Times New Roman" w:hAnsi="Times New Roman" w:cs="Times New Roman"/>
          <w:szCs w:val="32"/>
          <w:lang w:val="en-US" w:eastAsia="zh-CN"/>
        </w:rPr>
        <w:t>到政府信息公开申请，故未产生任何有关政府信息公开信息处理事项及费用。后续我局将严格执行省、市政府办公厅相关规定，维护政府信息公开工作秩序，依法保障公众知情权。</w:t>
      </w:r>
    </w:p>
    <w:sectPr>
      <w:footerReference r:id="rId3" w:type="default"/>
      <w:footerReference r:id="rId4" w:type="even"/>
      <w:pgSz w:w="11906" w:h="16838"/>
      <w:pgMar w:top="2098" w:right="1474" w:bottom="1985" w:left="1588"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2E9BB"/>
    <w:multiLevelType w:val="singleLevel"/>
    <w:tmpl w:val="C3F2E9BB"/>
    <w:lvl w:ilvl="0" w:tentative="0">
      <w:start w:val="1"/>
      <w:numFmt w:val="chineseCounting"/>
      <w:suff w:val="nothing"/>
      <w:lvlText w:val="（%1）"/>
      <w:lvlJc w:val="left"/>
      <w:pPr>
        <w:ind w:left="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BC"/>
    <w:rsid w:val="00037533"/>
    <w:rsid w:val="00041328"/>
    <w:rsid w:val="00044024"/>
    <w:rsid w:val="000462DB"/>
    <w:rsid w:val="000704EE"/>
    <w:rsid w:val="00072B74"/>
    <w:rsid w:val="00090804"/>
    <w:rsid w:val="000955BD"/>
    <w:rsid w:val="000A516E"/>
    <w:rsid w:val="000B52BC"/>
    <w:rsid w:val="000C00E9"/>
    <w:rsid w:val="000F3012"/>
    <w:rsid w:val="0010540A"/>
    <w:rsid w:val="0010652F"/>
    <w:rsid w:val="0010792B"/>
    <w:rsid w:val="00127903"/>
    <w:rsid w:val="00127E98"/>
    <w:rsid w:val="001425EE"/>
    <w:rsid w:val="0015143B"/>
    <w:rsid w:val="00177506"/>
    <w:rsid w:val="00182C67"/>
    <w:rsid w:val="001904E3"/>
    <w:rsid w:val="00194123"/>
    <w:rsid w:val="001A2FC2"/>
    <w:rsid w:val="001C1C88"/>
    <w:rsid w:val="00243881"/>
    <w:rsid w:val="002676DA"/>
    <w:rsid w:val="002A1850"/>
    <w:rsid w:val="002A7642"/>
    <w:rsid w:val="002B0AF9"/>
    <w:rsid w:val="002B2EA0"/>
    <w:rsid w:val="002B398D"/>
    <w:rsid w:val="002C2EAB"/>
    <w:rsid w:val="002D548F"/>
    <w:rsid w:val="002E3228"/>
    <w:rsid w:val="00310234"/>
    <w:rsid w:val="00313365"/>
    <w:rsid w:val="00352BE8"/>
    <w:rsid w:val="003711B5"/>
    <w:rsid w:val="003B5B31"/>
    <w:rsid w:val="003D7AF4"/>
    <w:rsid w:val="003E0174"/>
    <w:rsid w:val="004221DD"/>
    <w:rsid w:val="00452F48"/>
    <w:rsid w:val="0046319F"/>
    <w:rsid w:val="00470565"/>
    <w:rsid w:val="004955BE"/>
    <w:rsid w:val="004A09DB"/>
    <w:rsid w:val="004A73AF"/>
    <w:rsid w:val="004C1E72"/>
    <w:rsid w:val="004C3A7C"/>
    <w:rsid w:val="004C700C"/>
    <w:rsid w:val="004D5C2A"/>
    <w:rsid w:val="004E5B75"/>
    <w:rsid w:val="0050017B"/>
    <w:rsid w:val="00580B78"/>
    <w:rsid w:val="00621965"/>
    <w:rsid w:val="006379E2"/>
    <w:rsid w:val="00650C1F"/>
    <w:rsid w:val="00672414"/>
    <w:rsid w:val="006729A0"/>
    <w:rsid w:val="00683D00"/>
    <w:rsid w:val="0068581A"/>
    <w:rsid w:val="006A627E"/>
    <w:rsid w:val="006A79BB"/>
    <w:rsid w:val="006C2731"/>
    <w:rsid w:val="00721F72"/>
    <w:rsid w:val="00724DF5"/>
    <w:rsid w:val="00735A30"/>
    <w:rsid w:val="007576A2"/>
    <w:rsid w:val="007A38EF"/>
    <w:rsid w:val="007B2F2A"/>
    <w:rsid w:val="007C6826"/>
    <w:rsid w:val="007E40D8"/>
    <w:rsid w:val="007F0330"/>
    <w:rsid w:val="00801ECB"/>
    <w:rsid w:val="0081568B"/>
    <w:rsid w:val="00815CFA"/>
    <w:rsid w:val="008262BA"/>
    <w:rsid w:val="00827A2A"/>
    <w:rsid w:val="00837E47"/>
    <w:rsid w:val="00871B2A"/>
    <w:rsid w:val="008A4024"/>
    <w:rsid w:val="008E6457"/>
    <w:rsid w:val="00932F64"/>
    <w:rsid w:val="00956A70"/>
    <w:rsid w:val="00975DD3"/>
    <w:rsid w:val="00977B79"/>
    <w:rsid w:val="00977EB3"/>
    <w:rsid w:val="009852C1"/>
    <w:rsid w:val="009B6F9B"/>
    <w:rsid w:val="009C1575"/>
    <w:rsid w:val="009C3E34"/>
    <w:rsid w:val="00A05552"/>
    <w:rsid w:val="00A240FB"/>
    <w:rsid w:val="00A60454"/>
    <w:rsid w:val="00A64571"/>
    <w:rsid w:val="00AB6B3B"/>
    <w:rsid w:val="00AE0459"/>
    <w:rsid w:val="00B050AB"/>
    <w:rsid w:val="00B13CC4"/>
    <w:rsid w:val="00B208C2"/>
    <w:rsid w:val="00B324FD"/>
    <w:rsid w:val="00B33507"/>
    <w:rsid w:val="00B34479"/>
    <w:rsid w:val="00B434DD"/>
    <w:rsid w:val="00B574E4"/>
    <w:rsid w:val="00B57BBF"/>
    <w:rsid w:val="00B975CB"/>
    <w:rsid w:val="00BA1AF5"/>
    <w:rsid w:val="00BB4E99"/>
    <w:rsid w:val="00BC155E"/>
    <w:rsid w:val="00BC36B1"/>
    <w:rsid w:val="00C16332"/>
    <w:rsid w:val="00C532F8"/>
    <w:rsid w:val="00C9420D"/>
    <w:rsid w:val="00CC42A7"/>
    <w:rsid w:val="00CC7889"/>
    <w:rsid w:val="00CD527C"/>
    <w:rsid w:val="00CE75D3"/>
    <w:rsid w:val="00CF4FE6"/>
    <w:rsid w:val="00D216D9"/>
    <w:rsid w:val="00D50C76"/>
    <w:rsid w:val="00D626A4"/>
    <w:rsid w:val="00D90441"/>
    <w:rsid w:val="00D97330"/>
    <w:rsid w:val="00DB76E7"/>
    <w:rsid w:val="00DC552E"/>
    <w:rsid w:val="00E00FBC"/>
    <w:rsid w:val="00E01219"/>
    <w:rsid w:val="00E045A9"/>
    <w:rsid w:val="00E04B34"/>
    <w:rsid w:val="00E1070D"/>
    <w:rsid w:val="00E22DCF"/>
    <w:rsid w:val="00E34F4B"/>
    <w:rsid w:val="00E43683"/>
    <w:rsid w:val="00E65607"/>
    <w:rsid w:val="00E75FE8"/>
    <w:rsid w:val="00E93EB1"/>
    <w:rsid w:val="00EE37C6"/>
    <w:rsid w:val="00EF5665"/>
    <w:rsid w:val="00F03027"/>
    <w:rsid w:val="00F13FD5"/>
    <w:rsid w:val="00F25941"/>
    <w:rsid w:val="00F30D79"/>
    <w:rsid w:val="00F5022A"/>
    <w:rsid w:val="00F51D9A"/>
    <w:rsid w:val="00F529F9"/>
    <w:rsid w:val="00F54BDF"/>
    <w:rsid w:val="00FA402C"/>
    <w:rsid w:val="00FB517B"/>
    <w:rsid w:val="00FB5B1B"/>
    <w:rsid w:val="00FB5F34"/>
    <w:rsid w:val="00FE0301"/>
    <w:rsid w:val="00FF125C"/>
    <w:rsid w:val="01606939"/>
    <w:rsid w:val="037B3274"/>
    <w:rsid w:val="065165A5"/>
    <w:rsid w:val="0A425CBB"/>
    <w:rsid w:val="0FD534D4"/>
    <w:rsid w:val="12371DBC"/>
    <w:rsid w:val="15277AF8"/>
    <w:rsid w:val="18585FC0"/>
    <w:rsid w:val="18BC6E74"/>
    <w:rsid w:val="19DF59CD"/>
    <w:rsid w:val="1BA53729"/>
    <w:rsid w:val="1CE30C5B"/>
    <w:rsid w:val="23527D33"/>
    <w:rsid w:val="24E645BE"/>
    <w:rsid w:val="275424FD"/>
    <w:rsid w:val="2C1D39E6"/>
    <w:rsid w:val="2CF904F7"/>
    <w:rsid w:val="316F2E20"/>
    <w:rsid w:val="335F08A0"/>
    <w:rsid w:val="34B74780"/>
    <w:rsid w:val="36C52188"/>
    <w:rsid w:val="38571A91"/>
    <w:rsid w:val="3AB571E5"/>
    <w:rsid w:val="3AE60A28"/>
    <w:rsid w:val="3B7B58A2"/>
    <w:rsid w:val="3E586526"/>
    <w:rsid w:val="3FCD3E94"/>
    <w:rsid w:val="41680586"/>
    <w:rsid w:val="44973545"/>
    <w:rsid w:val="4C325691"/>
    <w:rsid w:val="4C4E1C6F"/>
    <w:rsid w:val="4E831245"/>
    <w:rsid w:val="534A5933"/>
    <w:rsid w:val="536D0553"/>
    <w:rsid w:val="542E1E8C"/>
    <w:rsid w:val="544F678C"/>
    <w:rsid w:val="56D977B2"/>
    <w:rsid w:val="5D6F3AAD"/>
    <w:rsid w:val="5F9973BE"/>
    <w:rsid w:val="64245352"/>
    <w:rsid w:val="64632940"/>
    <w:rsid w:val="6464113E"/>
    <w:rsid w:val="661C125F"/>
    <w:rsid w:val="689E35C9"/>
    <w:rsid w:val="690D0DD5"/>
    <w:rsid w:val="6C3F191B"/>
    <w:rsid w:val="6CF30121"/>
    <w:rsid w:val="6E8B4077"/>
    <w:rsid w:val="731345C6"/>
    <w:rsid w:val="738C6963"/>
    <w:rsid w:val="74D519BD"/>
    <w:rsid w:val="79383CEF"/>
    <w:rsid w:val="79854D30"/>
    <w:rsid w:val="7B3C5912"/>
    <w:rsid w:val="7FEB0A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eastAsia="仿宋_GB2312"/>
      <w:kern w:val="0"/>
      <w:sz w:val="32"/>
      <w:szCs w:val="24"/>
    </w:rPr>
  </w:style>
  <w:style w:type="character" w:styleId="10">
    <w:name w:val="page number"/>
    <w:basedOn w:val="9"/>
    <w:qFormat/>
    <w:uiPriority w:val="99"/>
    <w:rPr>
      <w:rFonts w:cs="Times New Roman"/>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locked/>
    <w:uiPriority w:val="99"/>
    <w:rPr>
      <w:rFonts w:cs="Times New Roman"/>
      <w:sz w:val="18"/>
      <w:szCs w:val="18"/>
    </w:rPr>
  </w:style>
  <w:style w:type="character" w:customStyle="1" w:styleId="13">
    <w:name w:val="页脚 Char"/>
    <w:basedOn w:val="9"/>
    <w:link w:val="5"/>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411</Words>
  <Characters>2345</Characters>
  <Lines>19</Lines>
  <Paragraphs>5</Paragraphs>
  <TotalTime>2</TotalTime>
  <ScaleCrop>false</ScaleCrop>
  <LinksUpToDate>false</LinksUpToDate>
  <CharactersWithSpaces>2751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2020-02-17T08:24:00Z</dcterms:created>
  <dc:creator>王海进</dc:creator>
  <cp:lastModifiedBy>区科技局（科协）</cp:lastModifiedBy>
  <cp:lastPrinted>2021-12-28T07:25:00Z</cp:lastPrinted>
  <dcterms:modified xsi:type="dcterms:W3CDTF">2022-01-13T02:44:14Z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