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eastAsia="zh-CN"/>
        </w:rPr>
        <w:t>残疾人联合会</w:t>
      </w:r>
    </w:p>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2</w:t>
      </w:r>
      <w:r>
        <w:rPr>
          <w:rFonts w:hint="eastAsia" w:ascii="方正小标宋简体" w:eastAsia="方正小标宋简体"/>
          <w:kern w:val="0"/>
          <w:sz w:val="44"/>
          <w:szCs w:val="44"/>
        </w:rPr>
        <w:t>年度政府信息公开工作年度报告</w:t>
      </w:r>
    </w:p>
    <w:p>
      <w:pPr>
        <w:spacing w:line="500" w:lineRule="exact"/>
        <w:jc w:val="center"/>
        <w:rPr>
          <w:kern w:val="0"/>
        </w:rPr>
      </w:pPr>
    </w:p>
    <w:p>
      <w:pPr>
        <w:spacing w:line="500" w:lineRule="exact"/>
        <w:rPr>
          <w:rFonts w:hint="eastAsia"/>
          <w:sz w:val="21"/>
          <w:szCs w:val="21"/>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kern w:val="0"/>
          <w:sz w:val="21"/>
          <w:szCs w:val="21"/>
        </w:rPr>
      </w:pPr>
      <w:r>
        <w:rPr>
          <w:rFonts w:hint="eastAsia" w:ascii="黑体" w:hAnsi="黑体" w:eastAsia="黑体" w:cs="黑体"/>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eastAsia="zh-CN"/>
        </w:rPr>
        <w:t>区残联严格</w:t>
      </w:r>
      <w:r>
        <w:rPr>
          <w:rFonts w:hint="eastAsia" w:ascii="仿宋_GB2312" w:hAnsi="仿宋_GB2312" w:eastAsia="仿宋_GB2312" w:cs="仿宋_GB2312"/>
          <w:i w:val="0"/>
          <w:iCs w:val="0"/>
          <w:caps w:val="0"/>
          <w:color w:val="auto"/>
          <w:spacing w:val="0"/>
          <w:sz w:val="32"/>
          <w:szCs w:val="32"/>
          <w:shd w:val="clear" w:fill="FFFFFF"/>
        </w:rPr>
        <w:t>按照新修订《中华人民共和国政府信息公开条例》和《国务院办公厅关于全面推进基层政务公开标准化规范化工作的指导意见》等要求，以扎实做</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好“六稳”工作、全面落实“六保”任务以及统筹抓好</w:t>
      </w:r>
      <w:r>
        <w:rPr>
          <w:rFonts w:hint="eastAsia" w:ascii="仿宋_GB2312" w:hAnsi="仿宋_GB2312" w:cs="仿宋_GB2312"/>
          <w:i w:val="0"/>
          <w:iCs w:val="0"/>
          <w:caps w:val="0"/>
          <w:color w:val="auto"/>
          <w:spacing w:val="0"/>
          <w:sz w:val="32"/>
          <w:szCs w:val="32"/>
          <w:shd w:val="clear" w:fill="FFFFFF"/>
          <w:lang w:eastAsia="zh-CN"/>
        </w:rPr>
        <w:t>残疾人</w:t>
      </w:r>
      <w:r>
        <w:rPr>
          <w:rFonts w:hint="eastAsia" w:ascii="仿宋_GB2312" w:hAnsi="仿宋_GB2312" w:eastAsia="仿宋_GB2312" w:cs="仿宋_GB2312"/>
          <w:i w:val="0"/>
          <w:iCs w:val="0"/>
          <w:caps w:val="0"/>
          <w:color w:val="auto"/>
          <w:spacing w:val="0"/>
          <w:sz w:val="32"/>
          <w:szCs w:val="32"/>
          <w:shd w:val="clear" w:fill="FFFFFF"/>
        </w:rPr>
        <w:t>工作为重点，进一步推进</w:t>
      </w:r>
      <w:r>
        <w:rPr>
          <w:rFonts w:hint="eastAsia" w:ascii="仿宋_GB2312" w:hAnsi="仿宋_GB2312" w:cs="仿宋_GB2312"/>
          <w:i w:val="0"/>
          <w:iCs w:val="0"/>
          <w:caps w:val="0"/>
          <w:color w:val="auto"/>
          <w:spacing w:val="0"/>
          <w:sz w:val="32"/>
          <w:szCs w:val="32"/>
          <w:shd w:val="clear" w:fill="FFFFFF"/>
          <w:lang w:eastAsia="zh-CN"/>
        </w:rPr>
        <w:t>部门</w:t>
      </w:r>
      <w:r>
        <w:rPr>
          <w:rFonts w:hint="eastAsia" w:ascii="仿宋_GB2312" w:hAnsi="仿宋_GB2312" w:eastAsia="仿宋_GB2312" w:cs="仿宋_GB2312"/>
          <w:i w:val="0"/>
          <w:iCs w:val="0"/>
          <w:caps w:val="0"/>
          <w:color w:val="auto"/>
          <w:spacing w:val="0"/>
          <w:sz w:val="32"/>
          <w:szCs w:val="32"/>
          <w:shd w:val="clear" w:fill="FFFFFF"/>
        </w:rPr>
        <w:t>政务公开</w:t>
      </w:r>
      <w:r>
        <w:rPr>
          <w:rFonts w:hint="eastAsia" w:ascii="仿宋_GB2312" w:hAnsi="仿宋_GB2312" w:cs="仿宋_GB2312"/>
          <w:i w:val="0"/>
          <w:iCs w:val="0"/>
          <w:caps w:val="0"/>
          <w:color w:val="auto"/>
          <w:spacing w:val="0"/>
          <w:sz w:val="32"/>
          <w:szCs w:val="32"/>
          <w:shd w:val="clear" w:fill="FFFFFF"/>
          <w:lang w:eastAsia="zh-CN"/>
        </w:rPr>
        <w:t>透明</w:t>
      </w:r>
      <w:r>
        <w:rPr>
          <w:rFonts w:hint="eastAsia" w:ascii="仿宋_GB2312" w:hAnsi="仿宋_GB2312" w:eastAsia="仿宋_GB2312" w:cs="仿宋_GB2312"/>
          <w:i w:val="0"/>
          <w:iCs w:val="0"/>
          <w:caps w:val="0"/>
          <w:color w:val="auto"/>
          <w:spacing w:val="0"/>
          <w:sz w:val="32"/>
          <w:szCs w:val="32"/>
          <w:shd w:val="clear" w:fill="FFFFFF"/>
        </w:rPr>
        <w:t>化</w:t>
      </w:r>
      <w:r>
        <w:rPr>
          <w:rFonts w:hint="eastAsia" w:ascii="仿宋_GB2312" w:hAnsi="仿宋_GB2312" w:cs="仿宋_GB2312"/>
          <w:i w:val="0"/>
          <w:iCs w:val="0"/>
          <w:caps w:val="0"/>
          <w:color w:val="auto"/>
          <w:spacing w:val="0"/>
          <w:sz w:val="32"/>
          <w:szCs w:val="32"/>
          <w:shd w:val="clear" w:fill="FFFFFF"/>
          <w:lang w:eastAsia="zh-CN"/>
        </w:rPr>
        <w:t>、一体</w:t>
      </w:r>
      <w:r>
        <w:rPr>
          <w:rFonts w:hint="eastAsia" w:ascii="仿宋_GB2312" w:hAnsi="仿宋_GB2312" w:eastAsia="仿宋_GB2312" w:cs="仿宋_GB2312"/>
          <w:i w:val="0"/>
          <w:iCs w:val="0"/>
          <w:caps w:val="0"/>
          <w:color w:val="auto"/>
          <w:spacing w:val="0"/>
          <w:sz w:val="32"/>
          <w:szCs w:val="32"/>
          <w:shd w:val="clear" w:fill="FFFFFF"/>
        </w:rPr>
        <w:t>化建设，不断提高政务公开的质量和水平。</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eastAsia="zh-CN"/>
        </w:rPr>
      </w:pPr>
      <w:r>
        <w:rPr>
          <w:rFonts w:hint="eastAsia" w:ascii="楷体_GB2312" w:hAnsi="楷体_GB2312" w:eastAsia="楷体_GB2312" w:cs="楷体_GB2312"/>
          <w:b/>
          <w:bCs/>
          <w:szCs w:val="32"/>
          <w:lang w:eastAsia="zh-CN"/>
        </w:rPr>
        <w:t>（一）主动公开情况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i w:val="0"/>
          <w:iCs w:val="0"/>
          <w:caps w:val="0"/>
          <w:color w:val="auto"/>
          <w:spacing w:val="0"/>
          <w:sz w:val="32"/>
          <w:szCs w:val="32"/>
          <w:shd w:val="clear" w:fill="FFFFFF"/>
        </w:rPr>
        <w:t>年，我</w:t>
      </w:r>
      <w:r>
        <w:rPr>
          <w:rFonts w:hint="eastAsia" w:ascii="仿宋_GB2312" w:hAnsi="仿宋_GB2312" w:eastAsia="仿宋_GB2312" w:cs="仿宋_GB2312"/>
          <w:i w:val="0"/>
          <w:iCs w:val="0"/>
          <w:caps w:val="0"/>
          <w:color w:val="auto"/>
          <w:spacing w:val="0"/>
          <w:sz w:val="32"/>
          <w:szCs w:val="32"/>
          <w:shd w:val="clear" w:fill="FFFFFF"/>
          <w:lang w:eastAsia="zh-CN"/>
        </w:rPr>
        <w:t>单位</w:t>
      </w:r>
      <w:r>
        <w:rPr>
          <w:rFonts w:hint="eastAsia" w:ascii="仿宋_GB2312" w:hAnsi="仿宋_GB2312" w:eastAsia="仿宋_GB2312" w:cs="仿宋_GB2312"/>
          <w:i w:val="0"/>
          <w:iCs w:val="0"/>
          <w:caps w:val="0"/>
          <w:color w:val="auto"/>
          <w:spacing w:val="0"/>
          <w:sz w:val="32"/>
          <w:szCs w:val="32"/>
          <w:shd w:val="clear" w:fill="FFFFFF"/>
        </w:rPr>
        <w:t>在</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政府网站发布政务信息</w:t>
      </w:r>
      <w:r>
        <w:rPr>
          <w:rFonts w:hint="eastAsia" w:ascii="仿宋_GB2312" w:hAnsi="仿宋_GB2312" w:eastAsia="仿宋_GB2312" w:cs="仿宋_GB2312"/>
          <w:i w:val="0"/>
          <w:iCs w:val="0"/>
          <w:caps w:val="0"/>
          <w:color w:val="auto"/>
          <w:spacing w:val="0"/>
          <w:sz w:val="32"/>
          <w:szCs w:val="32"/>
          <w:shd w:val="clear" w:fill="FFFFFF"/>
          <w:lang w:val="en-US" w:eastAsia="zh-CN"/>
        </w:rPr>
        <w:t>20</w:t>
      </w:r>
      <w:r>
        <w:rPr>
          <w:rFonts w:hint="eastAsia" w:ascii="仿宋_GB2312" w:hAnsi="仿宋_GB2312" w:eastAsia="仿宋_GB2312" w:cs="仿宋_GB2312"/>
          <w:i w:val="0"/>
          <w:iCs w:val="0"/>
          <w:caps w:val="0"/>
          <w:color w:val="auto"/>
          <w:spacing w:val="0"/>
          <w:sz w:val="32"/>
          <w:szCs w:val="32"/>
          <w:shd w:val="clear" w:fill="FFFFFF"/>
        </w:rPr>
        <w:t>条，其中信息公开专栏</w:t>
      </w:r>
      <w:r>
        <w:rPr>
          <w:rFonts w:hint="eastAsia" w:ascii="仿宋_GB2312" w:hAnsi="仿宋_GB2312" w:eastAsia="仿宋_GB2312" w:cs="仿宋_GB2312"/>
          <w:i w:val="0"/>
          <w:iCs w:val="0"/>
          <w:caps w:val="0"/>
          <w:color w:val="auto"/>
          <w:spacing w:val="0"/>
          <w:sz w:val="32"/>
          <w:szCs w:val="32"/>
          <w:shd w:val="clear" w:fill="FFFFFF"/>
          <w:lang w:eastAsia="zh-CN"/>
        </w:rPr>
        <w:t>主动</w:t>
      </w:r>
      <w:r>
        <w:rPr>
          <w:rFonts w:hint="eastAsia" w:ascii="仿宋_GB2312" w:hAnsi="仿宋_GB2312" w:eastAsia="仿宋_GB2312" w:cs="仿宋_GB2312"/>
          <w:i w:val="0"/>
          <w:iCs w:val="0"/>
          <w:caps w:val="0"/>
          <w:color w:val="auto"/>
          <w:spacing w:val="0"/>
          <w:sz w:val="32"/>
          <w:szCs w:val="32"/>
          <w:shd w:val="clear" w:fill="FFFFFF"/>
        </w:rPr>
        <w:t>公开内容信息</w:t>
      </w:r>
      <w:r>
        <w:rPr>
          <w:rFonts w:hint="eastAsia" w:ascii="仿宋_GB2312" w:hAnsi="仿宋_GB2312" w:eastAsia="仿宋_GB2312" w:cs="仿宋_GB2312"/>
          <w:i w:val="0"/>
          <w:iCs w:val="0"/>
          <w:caps w:val="0"/>
          <w:color w:val="auto"/>
          <w:spacing w:val="0"/>
          <w:sz w:val="32"/>
          <w:szCs w:val="32"/>
          <w:shd w:val="clear" w:fill="FFFFFF"/>
          <w:lang w:val="en-US" w:eastAsia="zh-CN"/>
        </w:rPr>
        <w:t>20</w:t>
      </w:r>
      <w:r>
        <w:rPr>
          <w:rFonts w:hint="eastAsia" w:ascii="仿宋_GB2312" w:hAnsi="仿宋_GB2312" w:eastAsia="仿宋_GB2312" w:cs="仿宋_GB2312"/>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一是</w:t>
      </w:r>
      <w:r>
        <w:rPr>
          <w:rFonts w:hint="eastAsia" w:ascii="仿宋_GB2312" w:hAnsi="仿宋_GB2312" w:eastAsia="仿宋_GB2312" w:cs="仿宋_GB2312"/>
          <w:i w:val="0"/>
          <w:iCs w:val="0"/>
          <w:caps w:val="0"/>
          <w:color w:val="auto"/>
          <w:spacing w:val="0"/>
          <w:sz w:val="32"/>
          <w:szCs w:val="32"/>
          <w:shd w:val="clear" w:fill="FFFFFF"/>
          <w:lang w:eastAsia="zh-CN"/>
        </w:rPr>
        <w:t>整合并新增公开事项类别。具体包括机构概况、工作信息、行政执法、人事信息、财政信息、年度报告、信息</w:t>
      </w:r>
      <w:r>
        <w:rPr>
          <w:rFonts w:hint="eastAsia" w:ascii="仿宋_GB2312" w:hAnsi="仿宋_GB2312" w:eastAsia="仿宋_GB2312" w:cs="仿宋_GB2312"/>
          <w:i w:val="0"/>
          <w:iCs w:val="0"/>
          <w:caps w:val="0"/>
          <w:color w:val="auto"/>
          <w:spacing w:val="0"/>
          <w:sz w:val="32"/>
          <w:szCs w:val="32"/>
          <w:shd w:val="clear" w:fill="FFFFFF"/>
          <w:lang w:val="en-US" w:eastAsia="zh-CN"/>
        </w:rPr>
        <w:t>公开指南、信息公开目录8个大类。</w:t>
      </w:r>
      <w:r>
        <w:rPr>
          <w:rFonts w:hint="eastAsia" w:ascii="仿宋_GB2312" w:hAnsi="仿宋_GB2312" w:eastAsia="仿宋_GB2312" w:cs="仿宋_GB2312"/>
          <w:i w:val="0"/>
          <w:iCs w:val="0"/>
          <w:caps w:val="0"/>
          <w:color w:val="auto"/>
          <w:spacing w:val="0"/>
          <w:sz w:val="32"/>
          <w:szCs w:val="32"/>
          <w:shd w:val="clear" w:fill="FFFFFF"/>
          <w:lang w:eastAsia="zh-CN"/>
        </w:rPr>
        <w:t>二</w:t>
      </w:r>
      <w:r>
        <w:rPr>
          <w:rFonts w:hint="eastAsia" w:ascii="仿宋_GB2312" w:hAnsi="仿宋_GB2312" w:eastAsia="仿宋_GB2312" w:cs="仿宋_GB2312"/>
          <w:i w:val="0"/>
          <w:iCs w:val="0"/>
          <w:caps w:val="0"/>
          <w:color w:val="auto"/>
          <w:spacing w:val="0"/>
          <w:sz w:val="32"/>
          <w:szCs w:val="32"/>
          <w:shd w:val="clear" w:fill="FFFFFF"/>
        </w:rPr>
        <w:t>是紧扣政策落地强化解读</w:t>
      </w:r>
      <w:r>
        <w:rPr>
          <w:rFonts w:hint="eastAsia" w:ascii="仿宋_GB2312" w:hAnsi="仿宋_GB2312" w:eastAsia="仿宋_GB2312" w:cs="仿宋_GB2312"/>
          <w:i w:val="0"/>
          <w:iCs w:val="0"/>
          <w:caps w:val="0"/>
          <w:color w:val="auto"/>
          <w:spacing w:val="0"/>
          <w:sz w:val="32"/>
          <w:szCs w:val="32"/>
          <w:shd w:val="clear" w:fill="FFFFFF"/>
          <w:lang w:eastAsia="zh-CN"/>
        </w:rPr>
        <w:t>机制。对上年度政务公开情况提供详细图解，</w:t>
      </w:r>
      <w:r>
        <w:rPr>
          <w:rFonts w:hint="eastAsia" w:ascii="仿宋_GB2312" w:hAnsi="仿宋_GB2312" w:eastAsia="仿宋_GB2312" w:cs="仿宋_GB2312"/>
          <w:color w:val="auto"/>
          <w:sz w:val="32"/>
          <w:szCs w:val="32"/>
          <w:lang w:val="en-US" w:eastAsia="zh-CN"/>
        </w:rPr>
        <w:t>对“部门预决算”、“</w:t>
      </w:r>
      <w:r>
        <w:rPr>
          <w:rFonts w:hint="eastAsia" w:ascii="仿宋_GB2312" w:hAnsi="仿宋_GB2312" w:eastAsia="仿宋_GB2312" w:cs="仿宋_GB2312"/>
          <w:i w:val="0"/>
          <w:iCs w:val="0"/>
          <w:caps w:val="0"/>
          <w:color w:val="auto"/>
          <w:spacing w:val="0"/>
          <w:sz w:val="32"/>
          <w:szCs w:val="32"/>
          <w:shd w:val="clear" w:fill="FFFFFF"/>
        </w:rPr>
        <w:t>财政资金直达基层</w:t>
      </w:r>
      <w:r>
        <w:rPr>
          <w:rFonts w:hint="eastAsia" w:ascii="仿宋_GB2312" w:hAnsi="仿宋_GB2312" w:eastAsia="仿宋_GB2312" w:cs="仿宋_GB2312"/>
          <w:color w:val="auto"/>
          <w:sz w:val="32"/>
          <w:szCs w:val="32"/>
          <w:lang w:val="en-US" w:eastAsia="zh-CN"/>
        </w:rPr>
        <w:t>”栏目继续进行重点及时公开。</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（二）依申请公开情况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Times New Roman" w:hAnsi="Times New Roman" w:eastAsia="仿宋_GB2312"/>
          <w:szCs w:val="32"/>
          <w:lang w:val="en-US" w:eastAsia="zh-CN"/>
        </w:rPr>
      </w:pPr>
      <w:r>
        <w:rPr>
          <w:rFonts w:hint="eastAsia" w:ascii="Times New Roman" w:hAnsi="Times New Roman"/>
          <w:szCs w:val="32"/>
          <w:lang w:eastAsia="zh-CN"/>
        </w:rPr>
        <w:t>未收到</w:t>
      </w:r>
      <w:r>
        <w:rPr>
          <w:rFonts w:hint="eastAsia" w:ascii="Times New Roman" w:hAnsi="Times New Roman"/>
          <w:szCs w:val="32"/>
        </w:rPr>
        <w:t>受理依申请公开件，</w:t>
      </w:r>
      <w:r>
        <w:rPr>
          <w:rFonts w:hint="eastAsia" w:ascii="Times New Roman" w:hAnsi="Times New Roman"/>
          <w:szCs w:val="32"/>
          <w:lang w:eastAsia="zh-CN"/>
        </w:rPr>
        <w:t>无</w:t>
      </w:r>
      <w:r>
        <w:rPr>
          <w:rFonts w:hint="eastAsia" w:ascii="仿宋_GB2312" w:hAnsi="仿宋_GB2312" w:eastAsia="仿宋_GB2312" w:cs="仿宋_GB2312"/>
          <w:szCs w:val="32"/>
          <w:lang w:eastAsia="zh-CN"/>
        </w:rPr>
        <w:t>因政府信息公开引起的行政复议</w:t>
      </w:r>
      <w:r>
        <w:rPr>
          <w:rFonts w:hint="eastAsia" w:ascii="仿宋_GB2312" w:hAnsi="仿宋_GB2312" w:cs="仿宋_GB2312"/>
          <w:szCs w:val="32"/>
          <w:lang w:eastAsia="zh-CN"/>
        </w:rPr>
        <w:t>与行政</w:t>
      </w:r>
      <w:r>
        <w:rPr>
          <w:rFonts w:hint="eastAsia" w:ascii="仿宋_GB2312" w:hAnsi="仿宋_GB2312" w:eastAsia="仿宋_GB2312" w:cs="仿宋_GB2312"/>
          <w:szCs w:val="32"/>
          <w:lang w:eastAsia="zh-CN"/>
        </w:rPr>
        <w:t>诉讼。</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（三）政府信息管理情况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auto"/>
          <w:szCs w:val="32"/>
          <w:lang w:val="en-US" w:eastAsia="zh-CN"/>
        </w:rPr>
      </w:pPr>
      <w:r>
        <w:rPr>
          <w:rFonts w:hint="eastAsia" w:ascii="仿宋_GB2312" w:hAnsi="仿宋_GB2312" w:cs="仿宋_GB2312"/>
          <w:color w:val="auto"/>
          <w:szCs w:val="32"/>
          <w:lang w:eastAsia="zh-CN"/>
        </w:rPr>
        <w:t>我单位</w:t>
      </w:r>
      <w:r>
        <w:rPr>
          <w:rFonts w:hint="eastAsia" w:ascii="仿宋_GB2312" w:hAnsi="仿宋_GB2312" w:eastAsia="仿宋_GB2312" w:cs="仿宋_GB2312"/>
          <w:color w:val="auto"/>
          <w:szCs w:val="32"/>
          <w:lang w:eastAsia="zh-CN"/>
        </w:rPr>
        <w:t>在</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Cs w:val="32"/>
          <w:lang w:val="en-US" w:eastAsia="zh-CN"/>
        </w:rPr>
        <w:t>年编制的政府</w:t>
      </w:r>
      <w:r>
        <w:rPr>
          <w:rFonts w:hint="eastAsia" w:ascii="仿宋_GB2312" w:hAnsi="仿宋_GB2312" w:cs="仿宋_GB2312"/>
          <w:color w:val="auto"/>
          <w:szCs w:val="32"/>
          <w:lang w:val="en-US" w:eastAsia="zh-CN"/>
        </w:rPr>
        <w:t>信息主动公开目录清单基础上，按照《</w:t>
      </w:r>
      <w:r>
        <w:rPr>
          <w:rFonts w:hint="eastAsia" w:ascii="仿宋_GB2312" w:hAnsi="仿宋_GB2312" w:eastAsia="仿宋_GB2312" w:cs="仿宋_GB2312"/>
          <w:i w:val="0"/>
          <w:iCs w:val="0"/>
          <w:caps w:val="0"/>
          <w:color w:val="auto"/>
          <w:spacing w:val="0"/>
          <w:sz w:val="32"/>
          <w:szCs w:val="32"/>
          <w:shd w:val="clear" w:fill="FFFFFF"/>
        </w:rPr>
        <w:t>政府信息公开条例</w:t>
      </w:r>
      <w:r>
        <w:rPr>
          <w:rFonts w:hint="eastAsia" w:ascii="仿宋_GB2312" w:hAnsi="仿宋_GB2312" w:cs="仿宋_GB2312"/>
          <w:color w:val="auto"/>
          <w:szCs w:val="32"/>
          <w:lang w:val="en-US" w:eastAsia="zh-CN"/>
        </w:rPr>
        <w:t>》，结合残联部门职能，</w:t>
      </w:r>
      <w:r>
        <w:rPr>
          <w:rFonts w:hint="eastAsia" w:ascii="仿宋_GB2312" w:hAnsi="仿宋_GB2312" w:cs="仿宋_GB2312"/>
          <w:color w:val="auto"/>
          <w:szCs w:val="32"/>
          <w:lang w:eastAsia="zh-CN"/>
        </w:rPr>
        <w:t>进一步完善本单位主动公开基本目录，</w:t>
      </w:r>
      <w:r>
        <w:rPr>
          <w:rFonts w:hint="eastAsia" w:ascii="仿宋_GB2312" w:hAnsi="仿宋_GB2312" w:eastAsia="仿宋_GB2312" w:cs="仿宋_GB2312"/>
          <w:color w:val="auto"/>
          <w:szCs w:val="32"/>
          <w:lang w:eastAsia="zh-CN"/>
        </w:rPr>
        <w:t>包括</w:t>
      </w:r>
      <w:r>
        <w:rPr>
          <w:rFonts w:hint="eastAsia" w:ascii="仿宋_GB2312" w:hAnsi="仿宋_GB2312" w:cs="仿宋_GB2312"/>
          <w:color w:val="auto"/>
          <w:szCs w:val="32"/>
          <w:lang w:eastAsia="zh-CN"/>
        </w:rPr>
        <w:t>“事项名称”和“公开内容”中</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eastAsia="zh-CN"/>
        </w:rPr>
        <w:t>单位负责人</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eastAsia="zh-CN"/>
        </w:rPr>
        <w:t>“本单位简介”、</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eastAsia="zh-CN"/>
        </w:rPr>
        <w:t>内设机构简介</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eastAsia="zh-CN"/>
        </w:rPr>
        <w:t>管理机构（下属机构）</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eastAsia="zh-CN"/>
        </w:rPr>
        <w:t>，对涉及到的具体信息作了详尽补充，特别是针对内设机构信息和下属</w:t>
      </w:r>
      <w:r>
        <w:rPr>
          <w:rFonts w:hint="eastAsia" w:ascii="仿宋_GB2312" w:hAnsi="仿宋_GB2312" w:cs="仿宋_GB2312"/>
          <w:color w:val="auto"/>
          <w:szCs w:val="32"/>
          <w:lang w:val="en-US" w:eastAsia="zh-CN"/>
        </w:rPr>
        <w:t>2家事业单位信息等方面</w:t>
      </w:r>
      <w:r>
        <w:rPr>
          <w:rFonts w:hint="eastAsia" w:ascii="仿宋_GB2312" w:hAnsi="仿宋_GB2312" w:cs="仿宋_GB2312"/>
          <w:color w:val="auto"/>
          <w:szCs w:val="32"/>
          <w:lang w:eastAsia="zh-CN"/>
        </w:rPr>
        <w:t>分别单独进行公开，</w:t>
      </w:r>
      <w:r>
        <w:rPr>
          <w:rFonts w:hint="eastAsia" w:ascii="仿宋_GB2312" w:hAnsi="仿宋_GB2312" w:eastAsia="仿宋_GB2312" w:cs="仿宋_GB2312"/>
          <w:color w:val="auto"/>
          <w:szCs w:val="32"/>
          <w:lang w:val="en-US" w:eastAsia="zh-CN"/>
        </w:rPr>
        <w:t>确保信息公开</w:t>
      </w:r>
      <w:r>
        <w:rPr>
          <w:rFonts w:hint="eastAsia" w:ascii="仿宋_GB2312" w:hAnsi="仿宋_GB2312" w:cs="仿宋_GB2312"/>
          <w:color w:val="auto"/>
          <w:szCs w:val="32"/>
          <w:lang w:val="en-US" w:eastAsia="zh-CN"/>
        </w:rPr>
        <w:t>更为直观透明</w:t>
      </w:r>
      <w:r>
        <w:rPr>
          <w:rFonts w:hint="eastAsia" w:ascii="仿宋_GB2312" w:hAnsi="仿宋_GB2312" w:eastAsia="仿宋_GB2312" w:cs="仿宋_GB2312"/>
          <w:color w:val="auto"/>
          <w:szCs w:val="32"/>
          <w:lang w:val="en-US" w:eastAsia="zh-CN"/>
        </w:rPr>
        <w:t>。</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highlight w:val="none"/>
          <w:lang w:val="en-US" w:eastAsia="zh-CN"/>
        </w:rPr>
      </w:pPr>
      <w:r>
        <w:rPr>
          <w:rFonts w:hint="eastAsia" w:ascii="楷体_GB2312" w:hAnsi="楷体_GB2312" w:eastAsia="楷体_GB2312" w:cs="楷体_GB2312"/>
          <w:b/>
          <w:bCs/>
          <w:szCs w:val="32"/>
          <w:highlight w:val="none"/>
          <w:lang w:val="en-US" w:eastAsia="zh-CN"/>
        </w:rPr>
        <w:t>（四）</w:t>
      </w:r>
      <w:r>
        <w:rPr>
          <w:rFonts w:hint="eastAsia" w:ascii="楷体_GB2312" w:hAnsi="楷体_GB2312" w:eastAsia="楷体_GB2312" w:cs="楷体_GB2312"/>
          <w:b/>
          <w:bCs/>
          <w:szCs w:val="32"/>
          <w:lang w:val="en-US" w:eastAsia="zh-CN"/>
        </w:rPr>
        <w:t>政府信息公开平台建设情况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16" w:firstLineChars="200"/>
        <w:jc w:val="both"/>
        <w:textAlignment w:val="auto"/>
        <w:rPr>
          <w:rFonts w:hint="eastAsia" w:ascii="仿宋_GB2312" w:hAnsi="仿宋_GB2312" w:cs="仿宋_GB2312"/>
          <w:snapToGrid w:val="0"/>
          <w:color w:val="auto"/>
          <w:spacing w:val="-4"/>
          <w:szCs w:val="32"/>
          <w:shd w:val="clear" w:color="auto" w:fill="FFFFFF"/>
          <w:lang w:val="en-US" w:eastAsia="zh-CN"/>
        </w:rPr>
      </w:pPr>
      <w:r>
        <w:rPr>
          <w:rFonts w:hint="eastAsia" w:ascii="仿宋_GB2312" w:hAnsi="仿宋_GB2312" w:cs="仿宋_GB2312"/>
          <w:snapToGrid w:val="0"/>
          <w:color w:val="auto"/>
          <w:spacing w:val="-4"/>
          <w:szCs w:val="32"/>
          <w:shd w:val="clear" w:color="auto" w:fill="FFFFFF"/>
          <w:lang w:val="en-US" w:eastAsia="zh-CN"/>
        </w:rPr>
        <w:t>依托“浙里助残”多跨应用场景建设及网站</w:t>
      </w:r>
      <w:r>
        <w:rPr>
          <w:rFonts w:hint="eastAsia" w:ascii="仿宋_GB2312" w:hAnsi="仿宋_GB2312" w:eastAsia="仿宋_GB2312" w:cs="仿宋_GB2312"/>
          <w:snapToGrid w:val="0"/>
          <w:color w:val="auto"/>
          <w:spacing w:val="-4"/>
          <w:szCs w:val="32"/>
          <w:shd w:val="clear" w:color="auto" w:fill="FFFFFF"/>
          <w:lang w:val="en-US" w:eastAsia="zh-CN"/>
        </w:rPr>
        <w:t>无障碍</w:t>
      </w:r>
      <w:r>
        <w:rPr>
          <w:rFonts w:hint="eastAsia" w:ascii="仿宋_GB2312" w:hAnsi="仿宋_GB2312" w:cs="仿宋_GB2312"/>
          <w:snapToGrid w:val="0"/>
          <w:color w:val="auto"/>
          <w:spacing w:val="-4"/>
          <w:szCs w:val="32"/>
          <w:shd w:val="clear" w:color="auto" w:fill="FFFFFF"/>
          <w:lang w:val="en-US" w:eastAsia="zh-CN"/>
        </w:rPr>
        <w:t>、</w:t>
      </w:r>
      <w:r>
        <w:rPr>
          <w:rFonts w:hint="eastAsia" w:ascii="仿宋_GB2312" w:hAnsi="仿宋_GB2312" w:eastAsia="仿宋_GB2312" w:cs="仿宋_GB2312"/>
          <w:snapToGrid w:val="0"/>
          <w:color w:val="auto"/>
          <w:spacing w:val="-4"/>
          <w:szCs w:val="32"/>
          <w:shd w:val="clear" w:color="auto" w:fill="FFFFFF"/>
          <w:lang w:val="en-US" w:eastAsia="zh-CN"/>
        </w:rPr>
        <w:t>适老化改造</w:t>
      </w:r>
      <w:r>
        <w:rPr>
          <w:rFonts w:hint="eastAsia" w:ascii="仿宋_GB2312" w:hAnsi="仿宋_GB2312" w:cs="仿宋_GB2312"/>
          <w:snapToGrid w:val="0"/>
          <w:color w:val="auto"/>
          <w:spacing w:val="-4"/>
          <w:szCs w:val="32"/>
          <w:shd w:val="clear" w:color="auto" w:fill="FFFFFF"/>
          <w:lang w:val="en-US" w:eastAsia="zh-CN"/>
        </w:rPr>
        <w:t>，</w:t>
      </w:r>
      <w:r>
        <w:rPr>
          <w:rFonts w:hint="eastAsia" w:ascii="仿宋_GB2312" w:hAnsi="仿宋_GB2312" w:eastAsia="仿宋_GB2312" w:cs="仿宋_GB2312"/>
          <w:snapToGrid w:val="0"/>
          <w:color w:val="auto"/>
          <w:spacing w:val="-4"/>
          <w:szCs w:val="32"/>
          <w:shd w:val="clear" w:color="auto" w:fill="FFFFFF"/>
          <w:lang w:val="en-US" w:eastAsia="zh-CN"/>
        </w:rPr>
        <w:t>在浙里办APP特色服务专区创新打造</w:t>
      </w:r>
      <w:r>
        <w:rPr>
          <w:rFonts w:hint="eastAsia" w:ascii="仿宋_GB2312" w:hAnsi="仿宋_GB2312" w:cs="仿宋_GB2312"/>
          <w:snapToGrid w:val="0"/>
          <w:color w:val="auto"/>
          <w:spacing w:val="-4"/>
          <w:szCs w:val="32"/>
          <w:shd w:val="clear" w:color="auto" w:fill="FFFFFF"/>
          <w:lang w:val="en-US" w:eastAsia="zh-CN"/>
        </w:rPr>
        <w:t>助残服务</w:t>
      </w:r>
      <w:r>
        <w:rPr>
          <w:rFonts w:hint="eastAsia" w:ascii="仿宋_GB2312" w:hAnsi="仿宋_GB2312" w:eastAsia="仿宋_GB2312" w:cs="仿宋_GB2312"/>
          <w:snapToGrid w:val="0"/>
          <w:color w:val="auto"/>
          <w:spacing w:val="-4"/>
          <w:szCs w:val="32"/>
          <w:shd w:val="clear" w:color="auto" w:fill="FFFFFF"/>
          <w:lang w:val="en-US" w:eastAsia="zh-CN"/>
        </w:rPr>
        <w:t>智能网约模块，为区域</w:t>
      </w:r>
      <w:r>
        <w:rPr>
          <w:rFonts w:hint="eastAsia" w:ascii="仿宋_GB2312" w:hAnsi="仿宋_GB2312" w:cs="仿宋_GB2312"/>
          <w:snapToGrid w:val="0"/>
          <w:color w:val="auto"/>
          <w:spacing w:val="-4"/>
          <w:szCs w:val="32"/>
          <w:shd w:val="clear" w:color="auto" w:fill="FFFFFF"/>
          <w:lang w:val="en-US" w:eastAsia="zh-CN"/>
        </w:rPr>
        <w:t>残疾人</w:t>
      </w:r>
      <w:r>
        <w:rPr>
          <w:rFonts w:hint="eastAsia" w:ascii="仿宋_GB2312" w:hAnsi="仿宋_GB2312" w:eastAsia="仿宋_GB2312" w:cs="仿宋_GB2312"/>
          <w:snapToGrid w:val="0"/>
          <w:color w:val="auto"/>
          <w:spacing w:val="-4"/>
          <w:szCs w:val="32"/>
          <w:shd w:val="clear" w:color="auto" w:fill="FFFFFF"/>
          <w:lang w:val="en-US" w:eastAsia="zh-CN"/>
        </w:rPr>
        <w:t>群众提供</w:t>
      </w:r>
      <w:r>
        <w:rPr>
          <w:rFonts w:hint="eastAsia" w:ascii="仿宋_GB2312" w:hAnsi="仿宋_GB2312" w:cs="仿宋_GB2312"/>
          <w:snapToGrid w:val="0"/>
          <w:color w:val="auto"/>
          <w:spacing w:val="-4"/>
          <w:szCs w:val="32"/>
          <w:shd w:val="clear" w:color="auto" w:fill="FFFFFF"/>
          <w:lang w:val="en-US" w:eastAsia="zh-CN"/>
        </w:rPr>
        <w:t>网上</w:t>
      </w:r>
      <w:r>
        <w:rPr>
          <w:rFonts w:hint="eastAsia" w:ascii="仿宋_GB2312" w:hAnsi="仿宋_GB2312" w:eastAsia="仿宋_GB2312" w:cs="仿宋_GB2312"/>
          <w:snapToGrid w:val="0"/>
          <w:color w:val="auto"/>
          <w:spacing w:val="-4"/>
          <w:szCs w:val="32"/>
          <w:shd w:val="clear" w:color="auto" w:fill="FFFFFF"/>
          <w:lang w:val="en-US" w:eastAsia="zh-CN"/>
        </w:rPr>
        <w:t>帮办“</w:t>
      </w:r>
      <w:r>
        <w:rPr>
          <w:rFonts w:hint="eastAsia" w:ascii="仿宋_GB2312" w:hAnsi="仿宋_GB2312" w:cs="仿宋_GB2312"/>
          <w:snapToGrid w:val="0"/>
          <w:color w:val="auto"/>
          <w:spacing w:val="-4"/>
          <w:szCs w:val="32"/>
          <w:shd w:val="clear" w:color="auto" w:fill="FFFFFF"/>
          <w:lang w:val="en-US" w:eastAsia="zh-CN"/>
        </w:rPr>
        <w:t>一站</w:t>
      </w:r>
      <w:r>
        <w:rPr>
          <w:rFonts w:hint="eastAsia" w:ascii="仿宋_GB2312" w:hAnsi="仿宋_GB2312" w:eastAsia="仿宋_GB2312" w:cs="仿宋_GB2312"/>
          <w:snapToGrid w:val="0"/>
          <w:color w:val="auto"/>
          <w:spacing w:val="-4"/>
          <w:szCs w:val="32"/>
          <w:shd w:val="clear" w:color="auto" w:fill="FFFFFF"/>
          <w:lang w:val="en-US" w:eastAsia="zh-CN"/>
        </w:rPr>
        <w:t>式”直达服务</w:t>
      </w:r>
      <w:r>
        <w:rPr>
          <w:rFonts w:hint="eastAsia" w:ascii="仿宋_GB2312" w:hAnsi="仿宋_GB2312" w:cs="仿宋_GB2312"/>
          <w:snapToGrid w:val="0"/>
          <w:color w:val="auto"/>
          <w:spacing w:val="-4"/>
          <w:szCs w:val="32"/>
          <w:shd w:val="clear" w:color="auto" w:fill="FFFFFF"/>
          <w:lang w:val="en-US" w:eastAsia="zh-CN"/>
        </w:rPr>
        <w:t>，实现</w:t>
      </w:r>
      <w:r>
        <w:rPr>
          <w:rFonts w:hint="eastAsia" w:ascii="仿宋_GB2312" w:hAnsi="仿宋_GB2312" w:eastAsia="仿宋_GB2312" w:cs="仿宋_GB2312"/>
          <w:snapToGrid w:val="0"/>
          <w:color w:val="auto"/>
          <w:spacing w:val="-4"/>
          <w:szCs w:val="32"/>
          <w:shd w:val="clear" w:color="auto" w:fill="FFFFFF"/>
          <w:lang w:val="en-US" w:eastAsia="zh-CN"/>
        </w:rPr>
        <w:t>残疾人证“跨省通办”</w:t>
      </w:r>
      <w:r>
        <w:rPr>
          <w:rFonts w:hint="eastAsia" w:ascii="仿宋_GB2312" w:hAnsi="仿宋_GB2312" w:cs="仿宋_GB2312"/>
          <w:snapToGrid w:val="0"/>
          <w:color w:val="auto"/>
          <w:spacing w:val="-4"/>
          <w:szCs w:val="32"/>
          <w:shd w:val="clear" w:color="auto" w:fill="FFFFFF"/>
          <w:lang w:val="en-US" w:eastAsia="zh-CN"/>
        </w:rPr>
        <w:t>，打造助残帮扶新亮点。</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highlight w:val="none"/>
          <w:lang w:val="en-US" w:eastAsia="zh-CN"/>
        </w:rPr>
      </w:pPr>
      <w:r>
        <w:rPr>
          <w:rFonts w:hint="eastAsia" w:ascii="楷体_GB2312" w:hAnsi="楷体_GB2312" w:eastAsia="楷体_GB2312" w:cs="楷体_GB2312"/>
          <w:b/>
          <w:bCs/>
          <w:szCs w:val="32"/>
          <w:highlight w:val="none"/>
          <w:lang w:val="en-US" w:eastAsia="zh-CN"/>
        </w:rPr>
        <w:t>（五）监督保障方面</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cs="仿宋_GB2312"/>
          <w:snapToGrid w:val="0"/>
          <w:color w:val="auto"/>
          <w:spacing w:val="-4"/>
          <w:szCs w:val="32"/>
          <w:shd w:val="clear" w:color="auto" w:fill="FFFFFF"/>
          <w:lang w:val="en-US" w:eastAsia="zh-CN"/>
        </w:rPr>
      </w:pPr>
      <w:r>
        <w:rPr>
          <w:rFonts w:hint="eastAsia" w:ascii="仿宋_GB2312" w:hAnsi="仿宋_GB2312" w:cs="仿宋_GB2312"/>
          <w:color w:val="auto"/>
          <w:szCs w:val="32"/>
          <w:lang w:eastAsia="zh-CN"/>
        </w:rPr>
        <w:t>以年度政务公开重点任务目标为切入点，</w:t>
      </w:r>
      <w:r>
        <w:rPr>
          <w:rFonts w:hint="eastAsia" w:ascii="仿宋_GB2312" w:hAnsi="仿宋_GB2312" w:eastAsia="仿宋_GB2312" w:cs="仿宋_GB2312"/>
          <w:color w:val="auto"/>
          <w:szCs w:val="32"/>
          <w:lang w:eastAsia="zh-CN"/>
        </w:rPr>
        <w:t>细化</w:t>
      </w:r>
      <w:r>
        <w:rPr>
          <w:rFonts w:hint="eastAsia" w:ascii="仿宋_GB2312" w:hAnsi="仿宋_GB2312" w:eastAsia="仿宋_GB2312" w:cs="仿宋_GB2312"/>
          <w:snapToGrid w:val="0"/>
          <w:color w:val="auto"/>
          <w:spacing w:val="-4"/>
          <w:sz w:val="32"/>
          <w:szCs w:val="32"/>
          <w:shd w:val="clear" w:color="auto" w:fill="auto"/>
          <w:lang w:val="en-US" w:eastAsia="zh-CN"/>
        </w:rPr>
        <w:t>并逐项分解到</w:t>
      </w:r>
      <w:r>
        <w:rPr>
          <w:rFonts w:hint="eastAsia" w:ascii="仿宋_GB2312" w:hAnsi="仿宋_GB2312" w:cs="仿宋_GB2312"/>
          <w:snapToGrid w:val="0"/>
          <w:color w:val="auto"/>
          <w:spacing w:val="-4"/>
          <w:sz w:val="32"/>
          <w:szCs w:val="32"/>
          <w:shd w:val="clear" w:color="auto" w:fill="auto"/>
          <w:lang w:val="en-US" w:eastAsia="zh-CN"/>
        </w:rPr>
        <w:t>各业务科室</w:t>
      </w:r>
      <w:r>
        <w:rPr>
          <w:rFonts w:hint="eastAsia" w:ascii="仿宋_GB2312" w:hAnsi="仿宋_GB2312" w:eastAsia="仿宋_GB2312" w:cs="仿宋_GB2312"/>
          <w:snapToGrid w:val="0"/>
          <w:color w:val="auto"/>
          <w:spacing w:val="-4"/>
          <w:sz w:val="32"/>
          <w:szCs w:val="32"/>
          <w:shd w:val="clear" w:color="auto" w:fill="auto"/>
          <w:lang w:val="en-US" w:eastAsia="zh-CN"/>
        </w:rPr>
        <w:t>。</w:t>
      </w:r>
      <w:r>
        <w:rPr>
          <w:rFonts w:hint="eastAsia" w:ascii="仿宋_GB2312" w:hAnsi="仿宋_GB2312" w:eastAsia="仿宋_GB2312" w:cs="仿宋_GB2312"/>
          <w:snapToGrid w:val="0"/>
          <w:color w:val="auto"/>
          <w:spacing w:val="-4"/>
          <w:szCs w:val="32"/>
          <w:shd w:val="clear" w:color="auto" w:fill="FFFFFF"/>
          <w:lang w:val="en-US" w:eastAsia="zh-CN"/>
        </w:rPr>
        <w:t>推行季度测评和年终考核机制，</w:t>
      </w:r>
      <w:r>
        <w:rPr>
          <w:rFonts w:hint="eastAsia" w:ascii="仿宋_GB2312" w:hAnsi="仿宋_GB2312" w:cs="仿宋_GB2312"/>
          <w:snapToGrid w:val="0"/>
          <w:color w:val="auto"/>
          <w:spacing w:val="-4"/>
          <w:szCs w:val="32"/>
          <w:shd w:val="clear" w:color="auto" w:fill="FFFFFF"/>
          <w:lang w:val="en-US" w:eastAsia="zh-CN"/>
        </w:rPr>
        <w:t>定期查摆问题与不足，全年</w:t>
      </w:r>
      <w:r>
        <w:rPr>
          <w:rFonts w:hint="eastAsia" w:ascii="仿宋_GB2312" w:hAnsi="仿宋_GB2312" w:eastAsia="仿宋_GB2312" w:cs="仿宋_GB2312"/>
          <w:snapToGrid w:val="0"/>
          <w:color w:val="auto"/>
          <w:spacing w:val="-4"/>
          <w:szCs w:val="32"/>
          <w:shd w:val="clear" w:color="auto" w:fill="FFFFFF"/>
          <w:lang w:val="en-US" w:eastAsia="zh-CN"/>
        </w:rPr>
        <w:t>发现问题6处，</w:t>
      </w:r>
      <w:r>
        <w:rPr>
          <w:rFonts w:hint="eastAsia" w:ascii="仿宋_GB2312" w:hAnsi="仿宋_GB2312" w:cs="仿宋_GB2312"/>
          <w:snapToGrid w:val="0"/>
          <w:color w:val="auto"/>
          <w:spacing w:val="-4"/>
          <w:szCs w:val="32"/>
          <w:shd w:val="clear" w:color="auto" w:fill="FFFFFF"/>
          <w:lang w:val="en-US" w:eastAsia="zh-CN"/>
        </w:rPr>
        <w:t>同时及时督促相关科室进行整改反馈，</w:t>
      </w:r>
      <w:r>
        <w:rPr>
          <w:rFonts w:hint="eastAsia" w:ascii="仿宋_GB2312" w:hAnsi="仿宋_GB2312" w:eastAsia="仿宋_GB2312" w:cs="仿宋_GB2312"/>
          <w:snapToGrid w:val="0"/>
          <w:color w:val="auto"/>
          <w:spacing w:val="-4"/>
          <w:szCs w:val="32"/>
          <w:shd w:val="clear" w:color="auto" w:fill="FFFFFF"/>
          <w:lang w:val="en-US" w:eastAsia="zh-CN"/>
        </w:rPr>
        <w:t>问题整改完成率100%。</w:t>
      </w:r>
      <w:r>
        <w:rPr>
          <w:rFonts w:hint="eastAsia" w:ascii="仿宋_GB2312" w:hAnsi="仿宋_GB2312" w:cs="仿宋_GB2312"/>
          <w:snapToGrid w:val="0"/>
          <w:color w:val="auto"/>
          <w:spacing w:val="-4"/>
          <w:szCs w:val="32"/>
          <w:shd w:val="clear" w:color="auto" w:fill="FFFFFF"/>
          <w:lang w:val="en-US" w:eastAsia="zh-CN"/>
        </w:rPr>
        <w:t>深化政务公开部门意见征集，对工作中涉及政务公开意见建议进行收集整理，对其中的难点堵点</w:t>
      </w:r>
      <w:r>
        <w:rPr>
          <w:rFonts w:hint="eastAsia" w:ascii="仿宋_GB2312" w:hAnsi="仿宋_GB2312" w:eastAsia="仿宋_GB2312" w:cs="仿宋_GB2312"/>
          <w:snapToGrid w:val="0"/>
          <w:color w:val="auto"/>
          <w:spacing w:val="-4"/>
          <w:szCs w:val="32"/>
          <w:shd w:val="clear" w:color="auto" w:fill="FFFFFF"/>
          <w:lang w:val="en-US" w:eastAsia="zh-CN"/>
        </w:rPr>
        <w:t>及时</w:t>
      </w:r>
      <w:r>
        <w:rPr>
          <w:rFonts w:hint="eastAsia" w:ascii="仿宋_GB2312" w:hAnsi="仿宋_GB2312" w:cs="仿宋_GB2312"/>
          <w:snapToGrid w:val="0"/>
          <w:color w:val="auto"/>
          <w:spacing w:val="-4"/>
          <w:szCs w:val="32"/>
          <w:shd w:val="clear" w:color="auto" w:fill="FFFFFF"/>
          <w:lang w:val="en-US" w:eastAsia="zh-CN"/>
        </w:rPr>
        <w:t>提交党组会议进行研究，</w:t>
      </w:r>
      <w:r>
        <w:rPr>
          <w:rFonts w:hint="eastAsia" w:ascii="仿宋_GB2312" w:hAnsi="仿宋_GB2312" w:cs="仿宋_GB2312"/>
          <w:snapToGrid w:val="0"/>
          <w:color w:val="auto"/>
          <w:spacing w:val="-4"/>
          <w:szCs w:val="32"/>
          <w:highlight w:val="none"/>
          <w:shd w:val="clear" w:color="auto" w:fill="FFFFFF"/>
          <w:lang w:val="en-US" w:eastAsia="zh-CN"/>
        </w:rPr>
        <w:t>确保政务公开工作的规范与严谨化</w:t>
      </w:r>
      <w:r>
        <w:rPr>
          <w:rFonts w:hint="eastAsia" w:ascii="仿宋_GB2312" w:hAnsi="仿宋_GB2312" w:cs="仿宋_GB2312"/>
          <w:snapToGrid w:val="0"/>
          <w:color w:val="auto"/>
          <w:spacing w:val="-4"/>
          <w:szCs w:val="32"/>
          <w:shd w:val="clear" w:color="auto" w:fill="FFFFFF"/>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二、主动公开政府信息情况</w:t>
      </w:r>
    </w:p>
    <w:tbl>
      <w:tblPr>
        <w:tblStyle w:val="7"/>
        <w:tblpPr w:leftFromText="180" w:rightFromText="180" w:vertAnchor="text" w:horzAnchor="page" w:tblpXSpec="center" w:tblpY="85"/>
        <w:tblOverlap w:val="never"/>
        <w:tblW w:w="0" w:type="auto"/>
        <w:tblInd w:w="0" w:type="dxa"/>
        <w:tblLayout w:type="fixed"/>
        <w:tblCellMar>
          <w:top w:w="0" w:type="dxa"/>
          <w:left w:w="0" w:type="dxa"/>
          <w:bottom w:w="0" w:type="dxa"/>
          <w:right w:w="0" w:type="dxa"/>
        </w:tblCellMar>
      </w:tblPr>
      <w:tblGrid>
        <w:gridCol w:w="1953"/>
        <w:gridCol w:w="2435"/>
        <w:gridCol w:w="2435"/>
        <w:gridCol w:w="2398"/>
      </w:tblGrid>
      <w:tr>
        <w:tblPrEx>
          <w:tblCellMar>
            <w:top w:w="0" w:type="dxa"/>
            <w:left w:w="0" w:type="dxa"/>
            <w:bottom w:w="0" w:type="dxa"/>
            <w:right w:w="0" w:type="dxa"/>
          </w:tblCellMar>
        </w:tblPrEx>
        <w:trPr>
          <w:trHeight w:val="34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r>
      <w:tr>
        <w:tblPrEx>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blPrEx>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ascii="仿宋" w:hAnsi="仿宋" w:eastAsia="仿宋" w:cs="仿宋"/>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kern w:val="0"/>
          <w:sz w:val="21"/>
          <w:szCs w:val="21"/>
        </w:rPr>
      </w:pPr>
      <w:r>
        <w:rPr>
          <w:rFonts w:hint="eastAsia" w:ascii="黑体" w:hAnsi="黑体" w:eastAsia="黑体" w:cs="黑体"/>
          <w:kern w:val="0"/>
          <w:sz w:val="32"/>
          <w:szCs w:val="32"/>
        </w:rPr>
        <w:t>三、收到和处理政府信息公开申请情况</w:t>
      </w:r>
    </w:p>
    <w:tbl>
      <w:tblPr>
        <w:tblStyle w:val="7"/>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noWrap w:val="0"/>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noWrap w:val="0"/>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1.属于国家秘密</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2.其他法律行政法规禁止公开</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3.危及“三安全一稳定”</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4.保护第三方合法权益</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5.属于三类内部事务信息</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6.属于四类过程性信息</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7.属于行政执法案卷</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8.属于行政查询事项</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1.本机关不掌握相关政府信息</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2.没有现成信息需要另行制作</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3.补正后申请内容仍不明确</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1.信访举报投诉类申请</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2.重复申请</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3.要求提供公开出版物</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4.无正当理由大量反复申请</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9"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5.要求行政机关确认或重新出具已获取信息</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noWrap w:val="0"/>
            <w:tcMar>
              <w:left w:w="57" w:type="dxa"/>
              <w:right w:w="57" w:type="dxa"/>
            </w:tcMar>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0"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3.其他</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5"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0" w:hRule="atLeas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701" w:type="dxa"/>
            <w:noWrap w:val="0"/>
            <w:tcMar>
              <w:left w:w="57" w:type="dxa"/>
              <w:right w:w="57" w:type="dxa"/>
            </w:tcMar>
            <w:vAlign w:val="center"/>
          </w:tcPr>
          <w:p>
            <w:pPr>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四、政府信息公开行政复议、行政诉讼情况</w:t>
      </w:r>
    </w:p>
    <w:tbl>
      <w:tblPr>
        <w:tblStyle w:val="7"/>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472"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五、存在的主要问题及改进情况</w:t>
      </w:r>
    </w:p>
    <w:p>
      <w:pPr>
        <w:keepNext w:val="0"/>
        <w:keepLines w:val="0"/>
        <w:pageBreakBefore w:val="0"/>
        <w:widowControl/>
        <w:kinsoku/>
        <w:wordWrap/>
        <w:overflowPunct/>
        <w:topLinePunct w:val="0"/>
        <w:autoSpaceDE w:val="0"/>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lang w:val="en-US" w:eastAsia="zh-CN"/>
        </w:rPr>
        <w:t>年，区残联</w:t>
      </w:r>
      <w:r>
        <w:rPr>
          <w:rFonts w:hint="eastAsia" w:ascii="仿宋_GB2312" w:hAnsi="仿宋_GB2312" w:eastAsia="仿宋_GB2312" w:cs="仿宋_GB2312"/>
          <w:color w:val="auto"/>
          <w:sz w:val="32"/>
          <w:szCs w:val="32"/>
          <w:lang w:val="en-US" w:eastAsia="zh-CN"/>
        </w:rPr>
        <w:t>政务公开工作虽然取得了一定</w:t>
      </w:r>
      <w:r>
        <w:rPr>
          <w:rFonts w:hint="eastAsia" w:ascii="仿宋_GB2312" w:hAnsi="仿宋_GB2312" w:eastAsia="仿宋_GB2312" w:cs="仿宋_GB2312"/>
          <w:color w:val="auto"/>
          <w:sz w:val="32"/>
          <w:szCs w:val="32"/>
          <w:lang w:val="en-US" w:eastAsia="zh-CN"/>
        </w:rPr>
        <w:t>进步，但在</w:t>
      </w:r>
      <w:r>
        <w:rPr>
          <w:rFonts w:hint="eastAsia" w:ascii="仿宋_GB2312" w:hAnsi="仿宋_GB2312" w:eastAsia="仿宋_GB2312" w:cs="仿宋_GB2312"/>
          <w:i w:val="0"/>
          <w:iCs w:val="0"/>
          <w:caps w:val="0"/>
          <w:color w:val="auto"/>
          <w:spacing w:val="0"/>
          <w:sz w:val="32"/>
          <w:szCs w:val="32"/>
          <w:shd w:val="clear" w:fill="FFFFFF"/>
        </w:rPr>
        <w:t>政府信息公开内容形式</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宣传力度</w:t>
      </w:r>
      <w:r>
        <w:rPr>
          <w:rFonts w:hint="eastAsia" w:ascii="仿宋_GB2312" w:hAnsi="仿宋_GB2312" w:eastAsia="仿宋_GB2312" w:cs="仿宋_GB2312"/>
          <w:i w:val="0"/>
          <w:iCs w:val="0"/>
          <w:caps w:val="0"/>
          <w:color w:val="auto"/>
          <w:spacing w:val="0"/>
          <w:sz w:val="32"/>
          <w:szCs w:val="32"/>
          <w:shd w:val="clear" w:fill="FFFFFF"/>
          <w:lang w:eastAsia="zh-CN"/>
        </w:rPr>
        <w:t>上</w:t>
      </w:r>
      <w:r>
        <w:rPr>
          <w:rFonts w:hint="eastAsia" w:ascii="仿宋_GB2312" w:hAnsi="仿宋_GB2312" w:eastAsia="仿宋_GB2312" w:cs="仿宋_GB2312"/>
          <w:i w:val="0"/>
          <w:iCs w:val="0"/>
          <w:caps w:val="0"/>
          <w:color w:val="auto"/>
          <w:spacing w:val="0"/>
          <w:sz w:val="32"/>
          <w:szCs w:val="32"/>
          <w:shd w:val="clear" w:fill="FFFFFF"/>
        </w:rPr>
        <w:t>还需进一步加强。</w:t>
      </w:r>
    </w:p>
    <w:p>
      <w:pPr>
        <w:keepNext w:val="0"/>
        <w:keepLines w:val="0"/>
        <w:pageBreakBefore w:val="0"/>
        <w:widowControl/>
        <w:kinsoku/>
        <w:wordWrap/>
        <w:overflowPunct/>
        <w:topLinePunct w:val="0"/>
        <w:autoSpaceDE w:val="0"/>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下一步，</w:t>
      </w:r>
      <w:r>
        <w:rPr>
          <w:rFonts w:hint="eastAsia" w:ascii="仿宋_GB2312" w:hAnsi="仿宋_GB2312" w:eastAsia="仿宋_GB2312" w:cs="仿宋_GB2312"/>
          <w:i w:val="0"/>
          <w:iCs w:val="0"/>
          <w:caps w:val="0"/>
          <w:color w:val="auto"/>
          <w:spacing w:val="0"/>
          <w:sz w:val="32"/>
          <w:szCs w:val="32"/>
          <w:shd w:val="clear" w:fill="FFFFFF"/>
          <w:lang w:eastAsia="zh-CN"/>
        </w:rPr>
        <w:t>我单位</w:t>
      </w:r>
      <w:r>
        <w:rPr>
          <w:rFonts w:hint="eastAsia" w:ascii="仿宋_GB2312" w:hAnsi="仿宋_GB2312" w:eastAsia="仿宋_GB2312" w:cs="仿宋_GB2312"/>
          <w:i w:val="0"/>
          <w:iCs w:val="0"/>
          <w:caps w:val="0"/>
          <w:color w:val="auto"/>
          <w:spacing w:val="0"/>
          <w:sz w:val="32"/>
          <w:szCs w:val="32"/>
          <w:shd w:val="clear" w:fill="FFFFFF"/>
        </w:rPr>
        <w:t>将继续认真贯彻落实上级部署要求，进一步提高</w:t>
      </w:r>
      <w:r>
        <w:rPr>
          <w:rFonts w:hint="eastAsia" w:ascii="仿宋_GB2312" w:hAnsi="仿宋_GB2312" w:eastAsia="仿宋_GB2312" w:cs="仿宋_GB2312"/>
          <w:i w:val="0"/>
          <w:iCs w:val="0"/>
          <w:caps w:val="0"/>
          <w:color w:val="auto"/>
          <w:spacing w:val="0"/>
          <w:sz w:val="32"/>
          <w:szCs w:val="32"/>
          <w:shd w:val="clear" w:fill="FFFFFF"/>
          <w:lang w:eastAsia="zh-CN"/>
        </w:rPr>
        <w:t>单位</w:t>
      </w:r>
      <w:r>
        <w:rPr>
          <w:rFonts w:hint="eastAsia" w:ascii="仿宋_GB2312" w:hAnsi="仿宋_GB2312" w:eastAsia="仿宋_GB2312" w:cs="仿宋_GB2312"/>
          <w:i w:val="0"/>
          <w:iCs w:val="0"/>
          <w:caps w:val="0"/>
          <w:color w:val="auto"/>
          <w:spacing w:val="0"/>
          <w:sz w:val="32"/>
          <w:szCs w:val="32"/>
          <w:shd w:val="clear" w:fill="FFFFFF"/>
        </w:rPr>
        <w:t>政府信息公开工作的质量和水平。一</w:t>
      </w:r>
      <w:r>
        <w:rPr>
          <w:rFonts w:hint="eastAsia" w:ascii="仿宋_GB2312" w:hAnsi="仿宋_GB2312" w:eastAsia="仿宋_GB2312" w:cs="仿宋_GB2312"/>
          <w:i w:val="0"/>
          <w:iCs w:val="0"/>
          <w:caps w:val="0"/>
          <w:color w:val="auto"/>
          <w:spacing w:val="0"/>
          <w:sz w:val="32"/>
          <w:szCs w:val="32"/>
          <w:shd w:val="clear" w:fill="FFFFFF"/>
          <w:lang w:eastAsia="zh-CN"/>
        </w:rPr>
        <w:t>是</w:t>
      </w:r>
      <w:r>
        <w:rPr>
          <w:rFonts w:hint="eastAsia" w:ascii="仿宋_GB2312" w:hAnsi="仿宋_GB2312" w:eastAsia="仿宋_GB2312" w:cs="仿宋_GB2312"/>
          <w:i w:val="0"/>
          <w:iCs w:val="0"/>
          <w:caps w:val="0"/>
          <w:color w:val="auto"/>
          <w:spacing w:val="0"/>
          <w:sz w:val="32"/>
          <w:szCs w:val="32"/>
          <w:shd w:val="clear" w:fill="FFFFFF"/>
        </w:rPr>
        <w:t>进一步丰富信息公开内容形式，</w:t>
      </w:r>
      <w:r>
        <w:rPr>
          <w:rFonts w:hint="eastAsia" w:ascii="仿宋_GB2312" w:hAnsi="仿宋_GB2312" w:eastAsia="仿宋_GB2312" w:cs="仿宋_GB2312"/>
          <w:i w:val="0"/>
          <w:iCs w:val="0"/>
          <w:caps w:val="0"/>
          <w:color w:val="auto"/>
          <w:spacing w:val="0"/>
          <w:sz w:val="32"/>
          <w:szCs w:val="32"/>
          <w:shd w:val="clear" w:fill="FFFFFF"/>
          <w:lang w:eastAsia="zh-CN"/>
        </w:rPr>
        <w:t>包括音频、</w:t>
      </w:r>
      <w:r>
        <w:rPr>
          <w:rFonts w:hint="eastAsia" w:ascii="仿宋_GB2312" w:hAnsi="仿宋_GB2312" w:eastAsia="仿宋_GB2312" w:cs="仿宋_GB2312"/>
          <w:i w:val="0"/>
          <w:iCs w:val="0"/>
          <w:caps w:val="0"/>
          <w:color w:val="auto"/>
          <w:spacing w:val="0"/>
          <w:sz w:val="32"/>
          <w:szCs w:val="32"/>
          <w:shd w:val="clear" w:fill="FFFFFF"/>
        </w:rPr>
        <w:t>视频</w:t>
      </w:r>
      <w:r>
        <w:rPr>
          <w:rFonts w:hint="eastAsia" w:ascii="仿宋_GB2312" w:hAnsi="仿宋_GB2312" w:eastAsia="仿宋_GB2312" w:cs="仿宋_GB2312"/>
          <w:i w:val="0"/>
          <w:iCs w:val="0"/>
          <w:caps w:val="0"/>
          <w:color w:val="auto"/>
          <w:spacing w:val="0"/>
          <w:sz w:val="32"/>
          <w:szCs w:val="32"/>
          <w:shd w:val="clear" w:fill="FFFFFF"/>
          <w:lang w:eastAsia="zh-CN"/>
        </w:rPr>
        <w:t>、图解等多种形式</w:t>
      </w:r>
      <w:r>
        <w:rPr>
          <w:rFonts w:hint="eastAsia" w:ascii="仿宋_GB2312" w:hAnsi="仿宋_GB2312" w:eastAsia="仿宋_GB2312" w:cs="仿宋_GB2312"/>
          <w:i w:val="0"/>
          <w:iCs w:val="0"/>
          <w:caps w:val="0"/>
          <w:color w:val="auto"/>
          <w:spacing w:val="0"/>
          <w:sz w:val="32"/>
          <w:szCs w:val="32"/>
          <w:shd w:val="clear" w:fill="FFFFFF"/>
        </w:rPr>
        <w:t>发布和解读，使信息更</w:t>
      </w:r>
      <w:r>
        <w:rPr>
          <w:rFonts w:hint="eastAsia" w:ascii="仿宋_GB2312" w:hAnsi="仿宋_GB2312" w:cs="仿宋_GB2312"/>
          <w:i w:val="0"/>
          <w:iCs w:val="0"/>
          <w:caps w:val="0"/>
          <w:color w:val="auto"/>
          <w:spacing w:val="0"/>
          <w:sz w:val="32"/>
          <w:szCs w:val="32"/>
          <w:shd w:val="clear" w:fill="FFFFFF"/>
          <w:lang w:eastAsia="zh-CN"/>
        </w:rPr>
        <w:t>为</w:t>
      </w:r>
      <w:r>
        <w:rPr>
          <w:rFonts w:hint="eastAsia" w:ascii="仿宋_GB2312" w:hAnsi="仿宋_GB2312" w:eastAsia="仿宋_GB2312" w:cs="仿宋_GB2312"/>
          <w:i w:val="0"/>
          <w:iCs w:val="0"/>
          <w:caps w:val="0"/>
          <w:color w:val="auto"/>
          <w:spacing w:val="0"/>
          <w:sz w:val="32"/>
          <w:szCs w:val="32"/>
          <w:shd w:val="clear" w:fill="FFFFFF"/>
        </w:rPr>
        <w:t>可视、可感。二</w:t>
      </w:r>
      <w:r>
        <w:rPr>
          <w:rFonts w:hint="eastAsia" w:ascii="仿宋_GB2312" w:hAnsi="仿宋_GB2312" w:eastAsia="仿宋_GB2312" w:cs="仿宋_GB2312"/>
          <w:i w:val="0"/>
          <w:iCs w:val="0"/>
          <w:caps w:val="0"/>
          <w:color w:val="auto"/>
          <w:spacing w:val="0"/>
          <w:sz w:val="32"/>
          <w:szCs w:val="32"/>
          <w:shd w:val="clear" w:fill="FFFFFF"/>
          <w:lang w:eastAsia="zh-CN"/>
        </w:rPr>
        <w:t>是</w:t>
      </w:r>
      <w:r>
        <w:rPr>
          <w:rFonts w:hint="eastAsia" w:ascii="仿宋_GB2312" w:hAnsi="仿宋_GB2312" w:eastAsia="仿宋_GB2312" w:cs="仿宋_GB2312"/>
          <w:i w:val="0"/>
          <w:iCs w:val="0"/>
          <w:caps w:val="0"/>
          <w:color w:val="auto"/>
          <w:spacing w:val="0"/>
          <w:sz w:val="32"/>
          <w:szCs w:val="32"/>
          <w:shd w:val="clear" w:fill="FFFFFF"/>
        </w:rPr>
        <w:t>进一步拓宽信息公开渠道，根据新形势和新要求，及时准确把握重点，进一步拓展信息公开内容的</w:t>
      </w:r>
      <w:r>
        <w:rPr>
          <w:rFonts w:hint="eastAsia" w:ascii="仿宋_GB2312" w:hAnsi="仿宋_GB2312" w:eastAsia="仿宋_GB2312" w:cs="仿宋_GB2312"/>
          <w:i w:val="0"/>
          <w:iCs w:val="0"/>
          <w:caps w:val="0"/>
          <w:color w:val="auto"/>
          <w:spacing w:val="0"/>
          <w:sz w:val="32"/>
          <w:szCs w:val="32"/>
          <w:shd w:val="clear" w:fill="FFFFFF"/>
          <w:lang w:eastAsia="zh-CN"/>
        </w:rPr>
        <w:t>广度</w:t>
      </w:r>
      <w:r>
        <w:rPr>
          <w:rFonts w:hint="eastAsia" w:ascii="仿宋_GB2312" w:hAnsi="仿宋_GB2312" w:eastAsia="仿宋_GB2312" w:cs="仿宋_GB2312"/>
          <w:i w:val="0"/>
          <w:iCs w:val="0"/>
          <w:caps w:val="0"/>
          <w:color w:val="auto"/>
          <w:spacing w:val="0"/>
          <w:sz w:val="32"/>
          <w:szCs w:val="32"/>
          <w:shd w:val="clear" w:fill="FFFFFF"/>
        </w:rPr>
        <w:t>和深度，增加</w:t>
      </w:r>
      <w:r>
        <w:rPr>
          <w:rFonts w:hint="eastAsia" w:ascii="仿宋_GB2312" w:hAnsi="仿宋_GB2312" w:eastAsia="仿宋_GB2312" w:cs="仿宋_GB2312"/>
          <w:i w:val="0"/>
          <w:iCs w:val="0"/>
          <w:caps w:val="0"/>
          <w:color w:val="auto"/>
          <w:spacing w:val="0"/>
          <w:sz w:val="32"/>
          <w:szCs w:val="32"/>
          <w:shd w:val="clear" w:fill="FFFFFF"/>
          <w:lang w:eastAsia="zh-CN"/>
        </w:rPr>
        <w:t>残疾群众</w:t>
      </w:r>
      <w:r>
        <w:rPr>
          <w:rFonts w:hint="eastAsia" w:ascii="仿宋_GB2312" w:hAnsi="仿宋_GB2312" w:eastAsia="仿宋_GB2312" w:cs="仿宋_GB2312"/>
          <w:i w:val="0"/>
          <w:iCs w:val="0"/>
          <w:caps w:val="0"/>
          <w:color w:val="auto"/>
          <w:spacing w:val="0"/>
          <w:sz w:val="32"/>
          <w:szCs w:val="32"/>
          <w:shd w:val="clear" w:fill="FFFFFF"/>
        </w:rPr>
        <w:t>参与度，</w:t>
      </w:r>
      <w:r>
        <w:rPr>
          <w:rFonts w:hint="eastAsia" w:ascii="仿宋_GB2312" w:hAnsi="仿宋_GB2312" w:cs="仿宋_GB2312"/>
          <w:i w:val="0"/>
          <w:iCs w:val="0"/>
          <w:caps w:val="0"/>
          <w:color w:val="auto"/>
          <w:spacing w:val="0"/>
          <w:sz w:val="32"/>
          <w:szCs w:val="32"/>
          <w:shd w:val="clear" w:fill="FFFFFF"/>
          <w:lang w:eastAsia="zh-CN"/>
        </w:rPr>
        <w:t>丰富</w:t>
      </w:r>
      <w:r>
        <w:rPr>
          <w:rFonts w:hint="eastAsia" w:ascii="仿宋_GB2312" w:hAnsi="仿宋_GB2312" w:eastAsia="仿宋_GB2312" w:cs="仿宋_GB2312"/>
          <w:i w:val="0"/>
          <w:iCs w:val="0"/>
          <w:caps w:val="0"/>
          <w:color w:val="auto"/>
          <w:spacing w:val="0"/>
          <w:sz w:val="32"/>
          <w:szCs w:val="32"/>
          <w:shd w:val="clear" w:fill="FFFFFF"/>
        </w:rPr>
        <w:t>信息公开</w:t>
      </w:r>
      <w:r>
        <w:rPr>
          <w:rFonts w:hint="eastAsia" w:ascii="仿宋_GB2312" w:hAnsi="仿宋_GB2312" w:cs="仿宋_GB2312"/>
          <w:i w:val="0"/>
          <w:iCs w:val="0"/>
          <w:caps w:val="0"/>
          <w:color w:val="auto"/>
          <w:spacing w:val="0"/>
          <w:sz w:val="32"/>
          <w:szCs w:val="32"/>
          <w:shd w:val="clear" w:fill="FFFFFF"/>
          <w:lang w:eastAsia="zh-CN"/>
        </w:rPr>
        <w:t>的</w:t>
      </w:r>
      <w:r>
        <w:rPr>
          <w:rFonts w:hint="eastAsia" w:ascii="仿宋_GB2312" w:hAnsi="仿宋_GB2312" w:eastAsia="仿宋_GB2312" w:cs="仿宋_GB2312"/>
          <w:i w:val="0"/>
          <w:iCs w:val="0"/>
          <w:caps w:val="0"/>
          <w:color w:val="auto"/>
          <w:spacing w:val="0"/>
          <w:sz w:val="32"/>
          <w:szCs w:val="32"/>
          <w:shd w:val="clear" w:fill="FFFFFF"/>
        </w:rPr>
        <w:t>社会效应。</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kern w:val="0"/>
          <w:sz w:val="32"/>
          <w:szCs w:val="32"/>
        </w:rPr>
      </w:pPr>
      <w:r>
        <w:rPr>
          <w:rFonts w:hint="eastAsia" w:ascii="黑体" w:hAnsi="黑体" w:eastAsia="黑体" w:cs="黑体"/>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default"/>
          <w:kern w:val="0"/>
          <w:sz w:val="32"/>
          <w:szCs w:val="32"/>
          <w:lang w:val="en-US" w:eastAsia="zh-CN"/>
        </w:rPr>
      </w:pP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lang w:val="en-US" w:eastAsia="zh-CN"/>
        </w:rPr>
        <w:t>年度，本部门未收到政府信息公开申请，故未产生任何政府信息公开信息处理事项及费用。后续将严格执行国务院办公厅印发的《政府信息公开信息处理费管理办法》和省、市政府办公厅</w:t>
      </w:r>
      <w:r>
        <w:rPr>
          <w:rFonts w:hint="eastAsia" w:ascii="仿宋_GB2312" w:hAnsi="仿宋_GB2312" w:eastAsia="仿宋_GB2312" w:cs="仿宋_GB2312"/>
          <w:color w:val="000000"/>
          <w:sz w:val="32"/>
          <w:szCs w:val="32"/>
          <w:lang w:eastAsia="zh-CN"/>
        </w:rPr>
        <w:t>相关规定，维护政府信息公开工作秩序，更好地保障公众知情权</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N/>
        <w:bidi w:val="0"/>
        <w:adjustRightInd/>
        <w:snapToGrid/>
        <w:spacing w:line="560" w:lineRule="exact"/>
        <w:textAlignment w:val="auto"/>
      </w:pPr>
    </w:p>
    <w:sectPr>
      <w:footerReference r:id="rId3" w:type="default"/>
      <w:footerReference r:id="rId4" w:type="even"/>
      <w:pgSz w:w="11906" w:h="16838"/>
      <w:pgMar w:top="1701" w:right="1474" w:bottom="1134" w:left="1588" w:header="851" w:footer="992" w:gutter="0"/>
      <w:cols w:space="720" w:num="1"/>
      <w:titlePg/>
      <w:docGrid w:type="linesAndChars" w:linePitch="63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0459F"/>
    <w:rsid w:val="2B8F3AD4"/>
    <w:rsid w:val="3B7502BD"/>
    <w:rsid w:val="5190459F"/>
    <w:rsid w:val="688B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iPriority w:val="0"/>
    <w:pPr>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semiHidden/>
    <w:qFormat/>
    <w:uiPriority w:val="0"/>
    <w:pPr>
      <w:jc w:val="left"/>
    </w:pPr>
    <w:rPr>
      <w:rFonts w:eastAsia="仿宋_GB2312"/>
      <w:kern w:val="0"/>
      <w:sz w:val="32"/>
      <w:szCs w:val="32"/>
    </w:rPr>
  </w:style>
  <w:style w:type="character" w:styleId="9">
    <w:name w:val="page number"/>
    <w:basedOn w:val="8"/>
    <w:qFormat/>
    <w:uiPriority w:val="0"/>
  </w:style>
  <w:style w:type="paragraph" w:customStyle="1" w:styleId="10">
    <w:name w:val="Char Char Char Char Char Char Char"/>
    <w:basedOn w:val="1"/>
    <w:qFormat/>
    <w:uiPriority w:val="0"/>
    <w:pPr>
      <w:widowControl w:val="0"/>
    </w:pPr>
    <w:rPr>
      <w:rFonts w:ascii="Tahoma" w:hAnsi="Tahoma"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2023-01-03T09:52:00Z</dcterms:created>
  <dc:creator>区残联</dc:creator>
  <cp:lastModifiedBy>区残联</cp:lastModifiedBy>
  <dcterms:modified xsi:type="dcterms:W3CDTF">2023-01-05T08:29:33Z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