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00" w:lineRule="exact"/>
        <w:jc w:val="left"/>
        <w:textAlignment w:val="auto"/>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附件：</w:t>
      </w:r>
    </w:p>
    <w:p>
      <w:pPr>
        <w:spacing w:line="440" w:lineRule="exact"/>
        <w:ind w:firstLine="723" w:firstLineChars="200"/>
        <w:jc w:val="center"/>
        <w:rPr>
          <w:rFonts w:hint="eastAsia" w:ascii="仿宋" w:hAnsi="仿宋" w:eastAsia="仿宋" w:cs="仿宋"/>
          <w:sz w:val="24"/>
          <w:lang w:eastAsia="zh-CN"/>
        </w:rPr>
      </w:pPr>
      <w:r>
        <w:rPr>
          <w:rFonts w:hint="eastAsia" w:ascii="仿宋" w:hAnsi="仿宋" w:eastAsia="仿宋" w:cs="仿宋"/>
          <w:b/>
          <w:bCs/>
          <w:color w:val="auto"/>
          <w:sz w:val="36"/>
          <w:szCs w:val="36"/>
          <w:lang w:eastAsia="zh-CN"/>
        </w:rPr>
        <w:t>评分标准</w:t>
      </w:r>
    </w:p>
    <w:tbl>
      <w:tblPr>
        <w:tblStyle w:val="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42"/>
        <w:gridCol w:w="583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24"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序号</w:t>
            </w:r>
          </w:p>
        </w:tc>
        <w:tc>
          <w:tcPr>
            <w:tcW w:w="1342"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项目</w:t>
            </w:r>
          </w:p>
        </w:tc>
        <w:tc>
          <w:tcPr>
            <w:tcW w:w="5830"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评标细则及说明</w:t>
            </w:r>
          </w:p>
        </w:tc>
        <w:tc>
          <w:tcPr>
            <w:tcW w:w="1231"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rPr>
        <w:tc>
          <w:tcPr>
            <w:tcW w:w="824"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1</w:t>
            </w:r>
          </w:p>
        </w:tc>
        <w:tc>
          <w:tcPr>
            <w:tcW w:w="1342"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企业资信</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1.具备政务相关软件著作权登记证书的得2分；</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2.具备有效期内的ISO9001质量管理体系认证证书的得2分。(认证范围需为新媒体相关服务)</w:t>
            </w:r>
          </w:p>
          <w:p>
            <w:pPr>
              <w:jc w:val="left"/>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3.相关人员具备新媒体相关资质证书拥有中级职称得1分，拥有高级职称得2分。</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注：响应文件内提供相关证书扫描件。</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824"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2</w:t>
            </w:r>
          </w:p>
        </w:tc>
        <w:tc>
          <w:tcPr>
            <w:tcW w:w="1342"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相关荣誉</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从2019年1月1日起至2023年4月1日，获得省级以上科技型企业荣誉的得3分，市级得2分，市级以下得1分。本项最高得3分，分数可相加。</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证明：行政事业单位颁发的荣誉证书等能够证明时间和奖</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项内容的相关证明。</w:t>
            </w:r>
          </w:p>
        </w:tc>
        <w:tc>
          <w:tcPr>
            <w:tcW w:w="1231"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824"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2</w:t>
            </w:r>
          </w:p>
        </w:tc>
        <w:tc>
          <w:tcPr>
            <w:tcW w:w="1342"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类似业绩</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2020年01月01日以来响应人承接过政务媒体运营类似项目的，且项目金额大于15万的，每个得1分，本项目最高得2分；须提供合同或者中标通知书扫描件。</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24" w:type="dxa"/>
            <w:vMerge w:val="restart"/>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4</w:t>
            </w:r>
          </w:p>
        </w:tc>
        <w:tc>
          <w:tcPr>
            <w:tcW w:w="1342" w:type="dxa"/>
            <w:vMerge w:val="restart"/>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项目实施方案</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整体运营方案：根据响应人针对采购人提出的服务内容出具的整体运营方案的全面完整性、科学合理性以及流程清晰性、便捷性等，综合评定。</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24"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1342"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配合响应方案：根据响应人与采购人的配合机制、响应时间、服务保障方案等，综合评定。</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24"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1342"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应急预案：根据响应人具有的应急响应预案，综合评定。</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24"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1342" w:type="dxa"/>
            <w:vMerge w:val="continue"/>
            <w:noWrap w:val="0"/>
            <w:vAlign w:val="center"/>
          </w:tcPr>
          <w:p>
            <w:pPr>
              <w:jc w:val="center"/>
              <w:rPr>
                <w:rFonts w:hint="eastAsia" w:ascii="仿宋" w:hAnsi="仿宋" w:eastAsia="仿宋" w:cs="Times New Roman"/>
                <w:color w:val="000000"/>
                <w:kern w:val="2"/>
                <w:sz w:val="22"/>
                <w:szCs w:val="22"/>
                <w:lang w:val="en-US" w:eastAsia="zh-CN" w:bidi="ar-SA"/>
              </w:rPr>
            </w:pP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服务承诺：根据响应人提出的服务承诺进行综合评定。</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4"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5</w:t>
            </w:r>
          </w:p>
        </w:tc>
        <w:tc>
          <w:tcPr>
            <w:tcW w:w="1342"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项目组成人员</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拟投入本项目人员能力：</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1、根据技术支持团队人员的（驻点人员除外）能力、职称、从业时间、项目经验、获奖情况等进行综合评定。（须提供人员职称证书、相关专业等相关证明材料，无证明材料不得分）（0-10分）</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2、驻点人员必须具备新闻或者中文专业全日制大学本科学历且具备1年以上新媒体运行经验。（须提供人员毕业证书、运行经验等相关证明材料，无证明材料不得分）（0-5分）</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824"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6</w:t>
            </w:r>
          </w:p>
        </w:tc>
        <w:tc>
          <w:tcPr>
            <w:tcW w:w="1342"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文件编制质量</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磋商响应文件制作质量（根据文件编制有序、内容规范、字句清晰、表述完整等情况综合评定）</w:t>
            </w:r>
          </w:p>
        </w:tc>
        <w:tc>
          <w:tcPr>
            <w:tcW w:w="1231"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824"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7</w:t>
            </w:r>
          </w:p>
        </w:tc>
        <w:tc>
          <w:tcPr>
            <w:tcW w:w="1342" w:type="dxa"/>
            <w:noWrap w:val="0"/>
            <w:vAlign w:val="center"/>
          </w:tcPr>
          <w:p>
            <w:pPr>
              <w:jc w:val="center"/>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价格</w:t>
            </w:r>
          </w:p>
        </w:tc>
        <w:tc>
          <w:tcPr>
            <w:tcW w:w="5830" w:type="dxa"/>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最低有效响应价格为评标基准价</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响应报价得分=(评</w:t>
            </w:r>
            <w:bookmarkStart w:id="0" w:name="_GoBack"/>
            <w:bookmarkEnd w:id="0"/>
            <w:r>
              <w:rPr>
                <w:rFonts w:hint="eastAsia" w:ascii="仿宋" w:hAnsi="仿宋" w:eastAsia="仿宋" w:cs="Times New Roman"/>
                <w:color w:val="000000"/>
                <w:kern w:val="2"/>
                <w:sz w:val="22"/>
                <w:szCs w:val="22"/>
                <w:lang w:val="en-US" w:eastAsia="zh-CN" w:bidi="ar-SA"/>
              </w:rPr>
              <w:t>标基准价／响应报价)×价格权值（0.2）×100</w:t>
            </w:r>
          </w:p>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（计算得分保留小数点后2位）</w:t>
            </w:r>
          </w:p>
        </w:tc>
        <w:tc>
          <w:tcPr>
            <w:tcW w:w="1231"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7996" w:type="dxa"/>
            <w:gridSpan w:val="3"/>
            <w:noWrap w:val="0"/>
            <w:vAlign w:val="center"/>
          </w:tcPr>
          <w:p>
            <w:pPr>
              <w:jc w:val="left"/>
              <w:rPr>
                <w:rFonts w:hint="eastAsia"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总分</w:t>
            </w:r>
          </w:p>
        </w:tc>
        <w:tc>
          <w:tcPr>
            <w:tcW w:w="1231" w:type="dxa"/>
            <w:noWrap w:val="0"/>
            <w:vAlign w:val="center"/>
          </w:tcPr>
          <w:p>
            <w:pPr>
              <w:jc w:val="center"/>
              <w:rPr>
                <w:rFonts w:hint="default" w:ascii="仿宋" w:hAnsi="仿宋" w:eastAsia="仿宋" w:cs="Times New Roman"/>
                <w:color w:val="000000"/>
                <w:kern w:val="2"/>
                <w:sz w:val="22"/>
                <w:szCs w:val="22"/>
                <w:lang w:val="en-US" w:eastAsia="zh-CN" w:bidi="ar-SA"/>
              </w:rPr>
            </w:pPr>
            <w:r>
              <w:rPr>
                <w:rFonts w:hint="eastAsia" w:ascii="仿宋" w:hAnsi="仿宋" w:eastAsia="仿宋" w:cs="Times New Roman"/>
                <w:color w:val="000000"/>
                <w:kern w:val="2"/>
                <w:sz w:val="22"/>
                <w:szCs w:val="22"/>
                <w:lang w:val="en-US" w:eastAsia="zh-CN" w:bidi="ar-SA"/>
              </w:rPr>
              <w:t>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176CA"/>
    <w:rsid w:val="4D97383D"/>
    <w:rsid w:val="6A0F7D2F"/>
    <w:rsid w:val="6AB5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2023-03-28T06:09:00Z</dcterms:created>
  <dc:creator>zhgs</dc:creator>
  <cp:lastModifiedBy>zhgs</cp:lastModifiedBy>
  <cp:lastPrinted>2023-03-28T06:35:00Z</cp:lastPrinted>
  <dcterms:modified xsi:type="dcterms:W3CDTF">2023-03-28T08:39:25Z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