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宁波市生态环境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镇海分局</w:t>
      </w:r>
    </w:p>
    <w:p>
      <w:pPr>
        <w:pStyle w:val="5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年度政府信息公开工作报告</w:t>
      </w:r>
    </w:p>
    <w:p>
      <w:pPr>
        <w:pStyle w:val="5"/>
        <w:spacing w:line="240" w:lineRule="exact"/>
        <w:ind w:firstLine="420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5"/>
        <w:spacing w:line="240" w:lineRule="exact"/>
        <w:ind w:firstLine="420"/>
        <w:jc w:val="both"/>
        <w:rPr>
          <w:bCs/>
          <w:sz w:val="21"/>
          <w:szCs w:val="21"/>
        </w:rPr>
      </w:pPr>
    </w:p>
    <w:p>
      <w:pPr>
        <w:pStyle w:val="5"/>
        <w:spacing w:line="240" w:lineRule="exact"/>
        <w:ind w:firstLine="420"/>
        <w:jc w:val="left"/>
        <w:rPr>
          <w:rFonts w:hint="eastAsia" w:ascii="仿宋_GB2312" w:hAnsi="仿宋_GB2312" w:eastAsia="仿宋_GB2312" w:cs="仿宋_GB2312"/>
          <w:bCs/>
          <w:sz w:val="21"/>
          <w:szCs w:val="21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2021年，宁波市生态环境局镇海分局认真贯彻落实《中华人民共和国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政府信息公开条例》，紧密结合生态环境保护工作实际，着力提高信息内容质量、丰富信息展现方式、增强信息服务功能，政府信息公开工作进一步规范化、精细化，为绿色低碳高质量发展提供了助力。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eastAsia="zh-CN"/>
        </w:rPr>
        <w:t>（一）主动公开情况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szCs w:val="32"/>
          <w:lang w:val="en-US" w:eastAsia="zh-CN"/>
        </w:rPr>
      </w:pPr>
      <w:r>
        <w:rPr>
          <w:rFonts w:hint="eastAsia" w:ascii="Times New Roman" w:hAnsi="Times New Roman" w:cs="Times New Roman"/>
          <w:szCs w:val="32"/>
          <w:lang w:eastAsia="zh-CN"/>
        </w:rPr>
        <w:t>主动公开政府信息</w:t>
      </w:r>
      <w:r>
        <w:rPr>
          <w:rFonts w:hint="eastAsia" w:cs="Times New Roman"/>
          <w:szCs w:val="32"/>
          <w:lang w:val="en-US" w:eastAsia="zh-CN"/>
        </w:rPr>
        <w:t>2282</w:t>
      </w:r>
      <w:r>
        <w:rPr>
          <w:rFonts w:hint="eastAsia" w:ascii="Times New Roman" w:hAnsi="Times New Roman" w:cs="Times New Roman"/>
          <w:szCs w:val="32"/>
          <w:lang w:eastAsia="zh-CN"/>
        </w:rPr>
        <w:t>条，其中</w:t>
      </w:r>
      <w:r>
        <w:rPr>
          <w:rFonts w:hint="eastAsia" w:ascii="Times New Roman" w:hAnsi="Times New Roman" w:cs="Times New Roman"/>
          <w:szCs w:val="32"/>
          <w:lang w:val="en-US" w:eastAsia="zh-CN"/>
        </w:rPr>
        <w:t>政府网站公开</w:t>
      </w:r>
      <w:r>
        <w:rPr>
          <w:rFonts w:hint="eastAsia" w:cs="Times New Roman"/>
          <w:szCs w:val="32"/>
          <w:lang w:val="en-US" w:eastAsia="zh-CN"/>
        </w:rPr>
        <w:t>236</w:t>
      </w:r>
      <w:r>
        <w:rPr>
          <w:rFonts w:hint="eastAsia" w:ascii="Times New Roman" w:hAnsi="Times New Roman" w:cs="Times New Roman"/>
          <w:szCs w:val="32"/>
          <w:lang w:val="en-US" w:eastAsia="zh-CN"/>
        </w:rPr>
        <w:t>条，政务微博、微信公开</w:t>
      </w:r>
      <w:r>
        <w:rPr>
          <w:rFonts w:hint="eastAsia" w:cs="Times New Roman"/>
          <w:szCs w:val="32"/>
          <w:lang w:val="en-US" w:eastAsia="zh-CN"/>
        </w:rPr>
        <w:t>1828</w:t>
      </w:r>
      <w:r>
        <w:rPr>
          <w:rFonts w:hint="eastAsia" w:ascii="Times New Roman" w:hAnsi="Times New Roman" w:cs="Times New Roman"/>
          <w:szCs w:val="32"/>
          <w:lang w:val="en-US" w:eastAsia="zh-CN"/>
        </w:rPr>
        <w:t>条</w:t>
      </w:r>
      <w:r>
        <w:rPr>
          <w:rFonts w:hint="eastAsia" w:cs="Times New Roman"/>
          <w:szCs w:val="32"/>
          <w:lang w:val="en-US" w:eastAsia="zh-CN"/>
        </w:rPr>
        <w:t>，户外LED信息公告屏等公开218条；</w:t>
      </w:r>
      <w:r>
        <w:rPr>
          <w:rFonts w:hint="eastAsia" w:ascii="Times New Roman" w:hAnsi="Times New Roman" w:cs="Times New Roman"/>
          <w:szCs w:val="32"/>
          <w:lang w:val="en-US" w:eastAsia="zh-CN"/>
        </w:rPr>
        <w:t>发布各类政策解读</w:t>
      </w:r>
      <w:r>
        <w:rPr>
          <w:rFonts w:hint="eastAsia" w:cs="Times New Roman"/>
          <w:szCs w:val="32"/>
          <w:lang w:val="en-US" w:eastAsia="zh-CN"/>
        </w:rPr>
        <w:t>和答记者问26篇</w:t>
      </w:r>
      <w:r>
        <w:rPr>
          <w:rFonts w:hint="eastAsia" w:ascii="Times New Roman" w:hAnsi="Times New Roman" w:cs="Times New Roman"/>
          <w:szCs w:val="32"/>
          <w:lang w:val="en-US" w:eastAsia="zh-CN"/>
        </w:rPr>
        <w:t>；</w:t>
      </w:r>
      <w:r>
        <w:rPr>
          <w:rFonts w:hint="eastAsia" w:cs="Times New Roman"/>
          <w:szCs w:val="32"/>
          <w:lang w:val="en-US" w:eastAsia="zh-CN"/>
        </w:rPr>
        <w:t>通过微博微信</w:t>
      </w:r>
      <w:r>
        <w:rPr>
          <w:rFonts w:hint="eastAsia" w:ascii="Times New Roman" w:hAnsi="Times New Roman" w:cs="Times New Roman"/>
          <w:szCs w:val="32"/>
          <w:lang w:val="en-US" w:eastAsia="zh-CN"/>
        </w:rPr>
        <w:t>回应</w:t>
      </w:r>
      <w:r>
        <w:rPr>
          <w:rFonts w:hint="eastAsia" w:cs="Times New Roman"/>
          <w:szCs w:val="32"/>
          <w:lang w:val="en-US" w:eastAsia="zh-CN"/>
        </w:rPr>
        <w:t>网民咨询投诉30</w:t>
      </w:r>
      <w:r>
        <w:rPr>
          <w:rFonts w:hint="eastAsia" w:ascii="Times New Roman" w:hAnsi="Times New Roman" w:cs="Times New Roman"/>
          <w:szCs w:val="32"/>
          <w:lang w:val="en-US" w:eastAsia="zh-CN"/>
        </w:rPr>
        <w:t>次。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  <w:t>（二）依申请公开情况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Cs w:val="32"/>
          <w:lang w:val="en-US" w:eastAsia="zh-CN"/>
        </w:rPr>
      </w:pPr>
      <w:r>
        <w:rPr>
          <w:rFonts w:hint="eastAsia" w:ascii="Times New Roman" w:hAnsi="Times New Roman"/>
          <w:color w:val="auto"/>
          <w:szCs w:val="32"/>
        </w:rPr>
        <w:t>受理依申请公开</w:t>
      </w:r>
      <w:r>
        <w:rPr>
          <w:rFonts w:hint="eastAsia" w:ascii="Times New Roman" w:hAnsi="Times New Roman"/>
          <w:color w:val="auto"/>
          <w:szCs w:val="32"/>
          <w:lang w:val="en-US" w:eastAsia="zh-CN"/>
        </w:rPr>
        <w:t>1</w:t>
      </w:r>
      <w:r>
        <w:rPr>
          <w:rFonts w:hint="eastAsia" w:ascii="Times New Roman" w:hAnsi="Times New Roman"/>
          <w:color w:val="auto"/>
          <w:szCs w:val="32"/>
        </w:rPr>
        <w:t>件</w:t>
      </w:r>
      <w:r>
        <w:rPr>
          <w:rFonts w:hint="eastAsia"/>
          <w:color w:val="auto"/>
          <w:szCs w:val="32"/>
          <w:lang w:val="en-US" w:eastAsia="zh-CN"/>
        </w:rPr>
        <w:t>（自然人）</w:t>
      </w:r>
      <w:r>
        <w:rPr>
          <w:rFonts w:hint="eastAsia" w:ascii="Times New Roman" w:hAnsi="Times New Roman"/>
          <w:color w:val="auto"/>
          <w:szCs w:val="32"/>
        </w:rPr>
        <w:t>，已办结</w:t>
      </w:r>
      <w:r>
        <w:rPr>
          <w:rFonts w:hint="eastAsia" w:ascii="Times New Roman" w:hAnsi="Times New Roman"/>
          <w:color w:val="auto"/>
          <w:szCs w:val="32"/>
          <w:lang w:val="en-US" w:eastAsia="zh-CN"/>
        </w:rPr>
        <w:t>1</w:t>
      </w:r>
      <w:r>
        <w:rPr>
          <w:rFonts w:hint="eastAsia" w:ascii="Times New Roman" w:hAnsi="Times New Roman"/>
          <w:color w:val="auto"/>
          <w:szCs w:val="32"/>
        </w:rPr>
        <w:t>件</w:t>
      </w:r>
      <w:r>
        <w:rPr>
          <w:rFonts w:hint="eastAsia" w:ascii="Times New Roman" w:hAnsi="Times New Roman"/>
          <w:color w:val="auto"/>
          <w:szCs w:val="32"/>
          <w:lang w:eastAsia="zh-CN"/>
        </w:rPr>
        <w:t>。从办理结果看，</w:t>
      </w:r>
      <w:r>
        <w:rPr>
          <w:rFonts w:hint="eastAsia" w:ascii="Times New Roman" w:hAnsi="Times New Roman"/>
          <w:color w:val="auto"/>
          <w:szCs w:val="32"/>
          <w:lang w:val="en-US" w:eastAsia="zh-CN"/>
        </w:rPr>
        <w:t>1件申请予以公开，</w:t>
      </w:r>
      <w:r>
        <w:rPr>
          <w:rFonts w:hint="eastAsia" w:ascii="Times New Roman" w:hAnsi="Times New Roman"/>
          <w:color w:val="auto"/>
          <w:szCs w:val="32"/>
          <w:lang w:eastAsia="zh-CN"/>
        </w:rPr>
        <w:t>按期书面答复申请人。无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因政府信息公开引起的行政复议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诉讼。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  <w:t>（三）政府信息管理情况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24" w:firstLineChars="200"/>
        <w:jc w:val="both"/>
        <w:textAlignment w:val="auto"/>
        <w:rPr>
          <w:rFonts w:hint="eastAsia" w:ascii="仿宋_GB2312" w:hAnsi="仿宋_GB2312" w:cs="仿宋_GB2312"/>
          <w:snapToGrid w:val="0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napToGrid w:val="0"/>
          <w:color w:val="auto"/>
          <w:spacing w:val="-4"/>
          <w:sz w:val="32"/>
          <w:szCs w:val="32"/>
          <w:lang w:val="en-US" w:eastAsia="zh-CN"/>
        </w:rPr>
        <w:t>强化组织保障，明确分管领导，落实专人负责政府信息公开工作。完善信息公开工作网络，细化科室信息公开职责，确保环境质量、项目审批、行政处罚、污染防治等政府信息得到及时公开。加强信息质量和保密审查，落实科室供稿、专人编辑、办公室负责人或分管领导审核的流程，确保信息公开工作平稳有序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  <w:t>（四）政府信息公开平台建设情况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24" w:firstLineChars="200"/>
        <w:jc w:val="both"/>
        <w:textAlignment w:val="auto"/>
        <w:rPr>
          <w:rFonts w:hint="default" w:ascii="仿宋_GB2312" w:hAnsi="仿宋_GB2312" w:cs="仿宋_GB2312"/>
          <w:snapToGrid w:val="0"/>
          <w:color w:val="auto"/>
          <w:spacing w:val="-4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snapToGrid w:val="0"/>
          <w:color w:val="auto"/>
          <w:spacing w:val="-4"/>
          <w:szCs w:val="32"/>
          <w:shd w:val="clear" w:color="auto" w:fill="FFFFFF"/>
          <w:lang w:val="en-US" w:eastAsia="zh-CN"/>
        </w:rPr>
        <w:t>聚焦“生态环境质量”“污染防治攻坚”“环境监管执法”“项目审批服务”等生态环境领域热点问题，优化栏目设置和内容配置，提高政府信息的可辨识度和易获得性。发挥政府信息公开网站、政务新媒体账号协同作用，开辟“实时空气质量”“典型违法案例”“服务事项查询”等微栏目，强化政府信息的公共服务功能。利用自有环境信息公告屏并与全区公益信息发布平台合作，在户外和机关、商场、学校、医院等公共场所滚动发布环境质量、环保科普、重要活动等内容，让政府信息更加贴近百姓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  <w:t>（五）政务新媒体管理方面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  <w:t>根据政务新媒体规律特点精心策划、规范管理、严格审核，着力提高“镇海生态环境”微博、微信公众号和视频号的影响力，形成了每个工作日微博发布5条以上（原创3条以上）、微信公众号发布2-3条（原创1条以上）、视频号每月原创发布2条以上的常规，收到了良好的传播效果，成为政府信息公开的特色载体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  <w:t>（六）监督保障方面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snapToGrid w:val="0"/>
          <w:color w:val="auto"/>
          <w:spacing w:val="-4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按照政府信息公开要求，对各科室信息提供情况和办公室制作把关情况开展督查，</w:t>
      </w:r>
      <w:r>
        <w:rPr>
          <w:rFonts w:hint="eastAsia" w:ascii="仿宋_GB2312" w:hAnsi="仿宋_GB2312" w:cs="仿宋_GB2312"/>
          <w:snapToGrid w:val="0"/>
          <w:color w:val="auto"/>
          <w:spacing w:val="-4"/>
          <w:sz w:val="32"/>
          <w:szCs w:val="32"/>
          <w:shd w:val="clear" w:color="auto" w:fill="auto"/>
          <w:lang w:val="en-US" w:eastAsia="zh-CN"/>
        </w:rPr>
        <w:t>对依申请公开信息实行严格审查，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从信息供稿的准确性、及时性、匹配度等方面进行评估，对供稿数量不足、质量不高、制作不及时的科室进行通报，提高政府信息公开的主动性和规范性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  <w:shd w:val="clear" w:color="auto" w:fill="auto"/>
          <w:lang w:val="en-US" w:eastAsia="zh-CN"/>
        </w:rPr>
        <w:t>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Times New Roman"/>
          <w:color w:val="auto"/>
          <w:szCs w:val="32"/>
        </w:rPr>
      </w:pPr>
      <w:r>
        <w:rPr>
          <w:rFonts w:hint="eastAsia" w:ascii="黑体" w:hAnsi="黑体" w:eastAsia="黑体" w:cs="Times New Roman"/>
          <w:color w:val="auto"/>
          <w:szCs w:val="32"/>
        </w:rPr>
        <w:t>二、主动公开政府信息情况</w:t>
      </w:r>
    </w:p>
    <w:tbl>
      <w:tblPr>
        <w:tblStyle w:val="6"/>
        <w:tblpPr w:leftFromText="180" w:rightFromText="180" w:vertAnchor="text" w:horzAnchor="page" w:tblpXSpec="center" w:tblpY="85"/>
        <w:tblOverlap w:val="never"/>
        <w:tblW w:w="92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435"/>
        <w:gridCol w:w="2435"/>
        <w:gridCol w:w="23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本年废止件数</w:t>
            </w:r>
          </w:p>
        </w:tc>
        <w:tc>
          <w:tcPr>
            <w:tcW w:w="2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231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Times New Roman"/>
          <w:color w:val="auto"/>
          <w:szCs w:val="32"/>
        </w:rPr>
      </w:pPr>
      <w:r>
        <w:rPr>
          <w:rFonts w:hint="eastAsia" w:ascii="黑体" w:hAnsi="黑体" w:eastAsia="黑体" w:cs="Times New Roman"/>
          <w:color w:val="auto"/>
          <w:szCs w:val="32"/>
        </w:rPr>
        <w:t>三、收到和处理政府信息公开申请情况</w:t>
      </w:r>
    </w:p>
    <w:tbl>
      <w:tblPr>
        <w:tblStyle w:val="6"/>
        <w:tblW w:w="928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959"/>
        <w:gridCol w:w="2630"/>
        <w:gridCol w:w="642"/>
        <w:gridCol w:w="714"/>
        <w:gridCol w:w="714"/>
        <w:gridCol w:w="714"/>
        <w:gridCol w:w="714"/>
        <w:gridCol w:w="714"/>
        <w:gridCol w:w="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913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570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70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商业</w:t>
            </w:r>
          </w:p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企业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科研</w:t>
            </w:r>
          </w:p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机构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其他</w:t>
            </w:r>
          </w:p>
        </w:tc>
        <w:tc>
          <w:tcPr>
            <w:tcW w:w="70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（三）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不予</w:t>
            </w:r>
          </w:p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公开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4.保护第三方合法权益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6.属于四类过程性信息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8.属于行政查询事项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3.补正后申请内容仍不明确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1.信访举报投诉类申请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3.其他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Times New Roman"/>
          <w:color w:val="auto"/>
          <w:szCs w:val="32"/>
        </w:rPr>
      </w:pPr>
      <w:r>
        <w:rPr>
          <w:rFonts w:hint="eastAsia" w:ascii="黑体" w:hAnsi="黑体" w:eastAsia="黑体" w:cs="Times New Roman"/>
          <w:color w:val="auto"/>
          <w:szCs w:val="32"/>
        </w:rPr>
        <w:t>四、政府信息公开行政复议、行政诉讼情况</w:t>
      </w:r>
    </w:p>
    <w:tbl>
      <w:tblPr>
        <w:tblStyle w:val="6"/>
        <w:tblW w:w="936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35"/>
        <w:gridCol w:w="540"/>
        <w:gridCol w:w="649"/>
        <w:gridCol w:w="649"/>
        <w:gridCol w:w="650"/>
        <w:gridCol w:w="650"/>
        <w:gridCol w:w="576"/>
        <w:gridCol w:w="650"/>
        <w:gridCol w:w="650"/>
        <w:gridCol w:w="650"/>
        <w:gridCol w:w="650"/>
        <w:gridCol w:w="4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24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审结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总计</w:t>
            </w:r>
          </w:p>
        </w:tc>
        <w:tc>
          <w:tcPr>
            <w:tcW w:w="3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0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审结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审结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color w:val="auto"/>
                <w:kern w:val="0"/>
                <w:sz w:val="21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Times New Roman"/>
          <w:color w:val="auto"/>
          <w:szCs w:val="32"/>
        </w:rPr>
      </w:pPr>
      <w:r>
        <w:rPr>
          <w:rFonts w:hint="eastAsia" w:ascii="黑体" w:hAnsi="黑体" w:eastAsia="黑体" w:cs="Times New Roman"/>
          <w:color w:val="auto"/>
          <w:szCs w:val="32"/>
        </w:rPr>
        <w:t>五、存在的主要问题及改进情况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2021年，本单位政府信息公开工作整体质量进一步提高，但仍存在公开面不够宽、解读互动不足等问题。2022年将从两方面改进：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一是加大信息公开内容统筹力度。从生态环境领域和本地、本年度的重点工作着眼，做好生态环境质量、污染防治攻坚、生态环境监管、建设项目审批等方面内容的总体布局，确保政府信息公开全面、均衡。</w:t>
      </w:r>
    </w:p>
    <w:p>
      <w:pPr>
        <w:ind w:firstLine="640" w:firstLineChars="200"/>
        <w:jc w:val="both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是加大新闻发布和政策解读力度。结合生态环境系统部署要求，试行新闻发布会制度，加大与受众的面对面互动；同时，运用图解、视频、答记者问等手段，加强生态环境保护政策、法律、规划等重要内容和民生信息的解读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本单位受理的1件政府信息公开申请不属于超出合理数量或频次范围，未向申请人收取信息处理费。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ind w:right="160" w:firstLine="3840" w:firstLineChars="1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宁波市生态环境局镇海分局</w:t>
      </w:r>
    </w:p>
    <w:p>
      <w:pPr>
        <w:ind w:right="16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2022年1月10日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63507"/>
    <w:rsid w:val="03F315D4"/>
    <w:rsid w:val="05030E31"/>
    <w:rsid w:val="07463507"/>
    <w:rsid w:val="0BDB22E4"/>
    <w:rsid w:val="0E220739"/>
    <w:rsid w:val="10A155F2"/>
    <w:rsid w:val="13215D9D"/>
    <w:rsid w:val="16FB0589"/>
    <w:rsid w:val="19B601E0"/>
    <w:rsid w:val="1C2911C6"/>
    <w:rsid w:val="1D1E26A5"/>
    <w:rsid w:val="1E8B640F"/>
    <w:rsid w:val="214512DF"/>
    <w:rsid w:val="2330066B"/>
    <w:rsid w:val="241D2D95"/>
    <w:rsid w:val="25A6221A"/>
    <w:rsid w:val="25C03463"/>
    <w:rsid w:val="340A1DCD"/>
    <w:rsid w:val="37F66CAC"/>
    <w:rsid w:val="45D84019"/>
    <w:rsid w:val="49BF7466"/>
    <w:rsid w:val="4AE50D23"/>
    <w:rsid w:val="5B3F6DB7"/>
    <w:rsid w:val="616421E3"/>
    <w:rsid w:val="62847109"/>
    <w:rsid w:val="65994D53"/>
    <w:rsid w:val="660C68C7"/>
    <w:rsid w:val="6EE7632F"/>
    <w:rsid w:val="713A02DC"/>
    <w:rsid w:val="75D55943"/>
    <w:rsid w:val="76CA2D20"/>
    <w:rsid w:val="7B4061D1"/>
    <w:rsid w:val="7F8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300" w:lineRule="auto"/>
      <w:ind w:left="0" w:leftChars="0"/>
    </w:pPr>
    <w:rPr>
      <w:rFonts w:hint="default" w:ascii="Calibri" w:hAnsi="Calibri"/>
      <w:i/>
      <w:sz w:val="21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hint="default"/>
      <w:sz w:val="21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Normal (Web)"/>
    <w:basedOn w:val="1"/>
    <w:semiHidden/>
    <w:qFormat/>
    <w:uiPriority w:val="0"/>
    <w:pPr>
      <w:jc w:val="left"/>
    </w:pPr>
    <w:rPr>
      <w:rFonts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2021-01-13T00:40:00Z</dcterms:created>
  <dc:creator>尚立峰</dc:creator>
  <cp:lastModifiedBy>Administrator</cp:lastModifiedBy>
  <cp:lastPrinted>2021-01-19T00:31:00Z</cp:lastPrinted>
  <dcterms:modified xsi:type="dcterms:W3CDTF">2024-04-02T07:42:58Z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