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0"/>
          <w:sz w:val="44"/>
          <w:szCs w:val="44"/>
          <w:lang w:val="en-US"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val="en-US" w:eastAsia="zh-CN"/>
        </w:rPr>
        <w:t>退役军人事务局</w:t>
      </w: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2021年度政府信息公开工作年度报告</w:t>
      </w:r>
    </w:p>
    <w:p>
      <w:pPr>
        <w:spacing w:line="560" w:lineRule="exact"/>
        <w:jc w:val="center"/>
        <w:rPr>
          <w:rFonts w:hint="eastAsia" w:ascii="方正小标宋简体" w:eastAsia="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编制说明：本年度报告根据《中华人民共和国政府信息公开条例》（国务院令第711号）和《国务院办公厅政府信息与政务公开办公室关于印发中华人民共和国政府信息公开工作年度报告格式的通知》（国办公开办函〔2021〕30号）要求，结合宁波市镇海区</w:t>
      </w:r>
      <w:r>
        <w:rPr>
          <w:rFonts w:hint="default" w:ascii="Times New Roman" w:hAnsi="Times New Roman" w:eastAsia="仿宋_GB2312" w:cs="Times New Roman"/>
          <w:kern w:val="0"/>
          <w:sz w:val="32"/>
          <w:szCs w:val="32"/>
          <w:lang w:val="en-US" w:eastAsia="zh-CN"/>
        </w:rPr>
        <w:t>退役军人事务局</w:t>
      </w:r>
      <w:r>
        <w:rPr>
          <w:rFonts w:hint="default" w:ascii="Times New Roman" w:hAnsi="Times New Roman" w:eastAsia="仿宋_GB2312" w:cs="Times New Roman"/>
          <w:kern w:val="0"/>
          <w:sz w:val="32"/>
          <w:szCs w:val="32"/>
        </w:rPr>
        <w:t>2021年度政府信息公开工作实际编制。全文包含总体情况、主动公开政府信息情况、收到和处理政府信息公开申请情况、政府信息公开行政复议和行政诉讼情况、存在的主要问题及改进情况、其他需要报告的事项六个方面。本报告中所列数据的统计期限从2021年1月1日到12月31日止。如对本报告所涉内容有咨询或疑问，请与宁波市镇海</w:t>
      </w:r>
      <w:r>
        <w:rPr>
          <w:rFonts w:hint="default" w:ascii="Times New Roman" w:hAnsi="Times New Roman" w:eastAsia="仿宋_GB2312" w:cs="Times New Roman"/>
          <w:kern w:val="0"/>
          <w:sz w:val="32"/>
          <w:szCs w:val="32"/>
          <w:lang w:val="en-US" w:eastAsia="zh-CN"/>
        </w:rPr>
        <w:t>区退役军人事务局</w:t>
      </w:r>
      <w:r>
        <w:rPr>
          <w:rFonts w:hint="default" w:ascii="Times New Roman" w:hAnsi="Times New Roman" w:eastAsia="仿宋_GB2312" w:cs="Times New Roman"/>
          <w:kern w:val="0"/>
          <w:sz w:val="32"/>
          <w:szCs w:val="32"/>
        </w:rPr>
        <w:t>办公室联系（地址：宁波市镇海区</w:t>
      </w:r>
      <w:r>
        <w:rPr>
          <w:rFonts w:hint="default" w:ascii="Times New Roman" w:hAnsi="Times New Roman" w:eastAsia="仿宋_GB2312" w:cs="Times New Roman"/>
          <w:kern w:val="0"/>
          <w:sz w:val="32"/>
          <w:szCs w:val="32"/>
          <w:lang w:val="en-US" w:eastAsia="zh-CN"/>
        </w:rPr>
        <w:t>骆驼街道金华南路53号F座</w:t>
      </w:r>
      <w:r>
        <w:rPr>
          <w:rFonts w:hint="default" w:ascii="Times New Roman" w:hAnsi="Times New Roman" w:eastAsia="仿宋_GB2312" w:cs="Times New Roman"/>
          <w:kern w:val="0"/>
          <w:sz w:val="32"/>
          <w:szCs w:val="32"/>
        </w:rPr>
        <w:t>，邮编：315200,电话:0574-</w:t>
      </w:r>
      <w:r>
        <w:rPr>
          <w:rFonts w:hint="default" w:ascii="Times New Roman" w:hAnsi="Times New Roman" w:eastAsia="仿宋_GB2312" w:cs="Times New Roman"/>
          <w:kern w:val="0"/>
          <w:sz w:val="32"/>
          <w:szCs w:val="32"/>
          <w:lang w:val="en-US" w:eastAsia="zh-CN"/>
        </w:rPr>
        <w:t>86580981</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kern w:val="0"/>
          <w:sz w:val="21"/>
          <w:szCs w:val="21"/>
        </w:rPr>
      </w:pPr>
      <w:r>
        <w:rPr>
          <w:rFonts w:hint="eastAsia" w:ascii="黑体" w:hAnsi="黑体" w:eastAsia="黑体" w:cs="黑体"/>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年以来，</w:t>
      </w:r>
      <w:r>
        <w:rPr>
          <w:rFonts w:hint="eastAsia" w:ascii="仿宋_GB2312" w:hAnsi="仿宋_GB2312" w:eastAsia="仿宋_GB2312" w:cs="仿宋_GB2312"/>
          <w:kern w:val="0"/>
          <w:sz w:val="32"/>
          <w:szCs w:val="32"/>
          <w:lang w:val="en-US" w:eastAsia="zh-CN"/>
        </w:rPr>
        <w:t>本机关</w:t>
      </w:r>
      <w:r>
        <w:rPr>
          <w:rFonts w:hint="eastAsia" w:ascii="仿宋_GB2312" w:hAnsi="仿宋_GB2312" w:eastAsia="仿宋_GB2312" w:cs="仿宋_GB2312"/>
          <w:kern w:val="0"/>
          <w:sz w:val="32"/>
          <w:szCs w:val="32"/>
        </w:rPr>
        <w:t>严格按照《中华人民共和国政府信息公开条例》，严格落实</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政府关于政府信息公开的工作要求，聚焦满腔服务保障退役军人一条主线，退役军人思想政治工作全面提升、基层服务保障体系建设严密推进、就业安置工作高效顺利、优待褒扬工作落实到位、拥军优属工作军地满意、权益维护积极有力，全社会尊崇军人、关爱退役军人的氛围不断浓厚。同时，工作中准确公布各类政府信息，确保政府信息公开工作依法、及时、准确、有序开展。</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ascii="楷体" w:hAnsi="楷体" w:eastAsia="楷体" w:cs="楷体"/>
        </w:rPr>
      </w:pPr>
      <w:r>
        <w:rPr>
          <w:rFonts w:hint="eastAsia" w:ascii="楷体" w:hAnsi="楷体" w:eastAsia="楷体" w:cs="楷体"/>
          <w:lang w:eastAsia="zh-CN"/>
        </w:rPr>
        <w:t>（一）</w:t>
      </w:r>
      <w:r>
        <w:rPr>
          <w:rFonts w:hint="eastAsia" w:ascii="楷体" w:hAnsi="楷体" w:eastAsia="楷体" w:cs="楷体"/>
        </w:rPr>
        <w:t>主动公开情况</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rPr>
        <w:t>主动公开</w:t>
      </w:r>
      <w:r>
        <w:rPr>
          <w:rFonts w:hint="eastAsia"/>
          <w:lang w:eastAsia="zh-CN"/>
        </w:rPr>
        <w:t>《</w:t>
      </w:r>
      <w:r>
        <w:rPr>
          <w:rFonts w:hint="eastAsia"/>
          <w:lang w:val="en-US" w:eastAsia="zh-CN"/>
        </w:rPr>
        <w:t>一图解&lt;退役军人保障法&gt;</w:t>
      </w:r>
      <w:r>
        <w:rPr>
          <w:rFonts w:hint="eastAsia"/>
          <w:lang w:eastAsia="zh-CN"/>
        </w:rPr>
        <w:t>》、《</w:t>
      </w:r>
      <w:r>
        <w:rPr>
          <w:rFonts w:hint="eastAsia"/>
          <w:lang w:val="en-US" w:eastAsia="zh-CN"/>
        </w:rPr>
        <w:t>镇海区“园中园”模式助力退役军人创业融合发展</w:t>
      </w:r>
      <w:r>
        <w:rPr>
          <w:rFonts w:hint="eastAsia"/>
          <w:lang w:eastAsia="zh-CN"/>
        </w:rPr>
        <w:t>》</w:t>
      </w:r>
      <w:r>
        <w:rPr>
          <w:rFonts w:hint="eastAsia"/>
          <w:lang w:val="en-US" w:eastAsia="zh-CN"/>
        </w:rPr>
        <w:t>等政务信息</w:t>
      </w:r>
      <w:r>
        <w:rPr>
          <w:rFonts w:hint="eastAsia"/>
        </w:rPr>
        <w:t>共</w:t>
      </w:r>
      <w:r>
        <w:rPr>
          <w:rFonts w:hint="eastAsia"/>
          <w:lang w:val="en-US" w:eastAsia="zh-CN"/>
        </w:rPr>
        <w:t>22</w:t>
      </w:r>
      <w:r>
        <w:rPr>
          <w:rFonts w:hint="eastAsia"/>
        </w:rPr>
        <w:t>条</w:t>
      </w:r>
      <w:r>
        <w:rPr>
          <w:rFonts w:hint="eastAsia"/>
          <w:lang w:eastAsia="zh-CN"/>
        </w:rPr>
        <w:t>。</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ascii="楷体" w:hAnsi="楷体" w:eastAsia="楷体" w:cs="楷体"/>
        </w:rPr>
      </w:pPr>
      <w:r>
        <w:rPr>
          <w:rFonts w:hint="eastAsia" w:ascii="楷体" w:hAnsi="楷体" w:eastAsia="楷体" w:cs="楷体"/>
          <w:lang w:val="en-US" w:eastAsia="zh-CN"/>
        </w:rPr>
        <w:t>（二）</w:t>
      </w:r>
      <w:r>
        <w:rPr>
          <w:rFonts w:hint="eastAsia" w:ascii="楷体" w:hAnsi="楷体" w:eastAsia="楷体" w:cs="楷体"/>
        </w:rPr>
        <w:t>依申请公开情况</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rPr>
      </w:pPr>
      <w:r>
        <w:rPr>
          <w:rFonts w:hint="eastAsia"/>
        </w:rPr>
        <w:t>202</w:t>
      </w:r>
      <w:r>
        <w:rPr>
          <w:rFonts w:hint="eastAsia"/>
          <w:lang w:val="en-US" w:eastAsia="zh-CN"/>
        </w:rPr>
        <w:t>1</w:t>
      </w:r>
      <w:r>
        <w:rPr>
          <w:rFonts w:hint="eastAsia"/>
        </w:rPr>
        <w:t>年，</w:t>
      </w:r>
      <w:r>
        <w:rPr>
          <w:rFonts w:hint="eastAsia"/>
          <w:lang w:val="en-US" w:eastAsia="zh-CN"/>
        </w:rPr>
        <w:t>本机关</w:t>
      </w:r>
      <w:r>
        <w:rPr>
          <w:rFonts w:hint="eastAsia"/>
        </w:rPr>
        <w:t>未收到要求信息公开的申请事项，未发生因信息公开被申请行政复议的情况。</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ascii="楷体" w:hAnsi="楷体" w:eastAsia="楷体" w:cs="楷体"/>
          <w:lang w:val="en-US" w:eastAsia="zh-CN"/>
        </w:rPr>
      </w:pPr>
      <w:r>
        <w:rPr>
          <w:rFonts w:hint="eastAsia" w:ascii="楷体" w:hAnsi="楷体" w:eastAsia="楷体" w:cs="楷体"/>
          <w:lang w:eastAsia="zh-CN"/>
        </w:rPr>
        <w:t>（三）</w:t>
      </w:r>
      <w:r>
        <w:rPr>
          <w:rFonts w:hint="eastAsia" w:ascii="楷体" w:hAnsi="楷体" w:eastAsia="楷体" w:cs="楷体"/>
        </w:rPr>
        <w:t>政府信息管理</w:t>
      </w:r>
      <w:r>
        <w:rPr>
          <w:rFonts w:hint="eastAsia" w:ascii="楷体" w:hAnsi="楷体" w:eastAsia="楷体" w:cs="楷体"/>
          <w:lang w:val="en-US" w:eastAsia="zh-CN"/>
        </w:rPr>
        <w:t>情况</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按照《国务院办公厅政府信息与政务公开办公室关于规范政府信息公开平台有关事项的通知》(国办公开办函〔2019〕61号)和《2021年政务公开工作要点的通知》(国政办函〔2021〕93号)等文件要求，进一步规范了政府信息公开平台设置，加强信息管理，提升主动公开工作实效，不断完善政府信息发布审核机制，加强对相关工作人员的业务指导，严格规范网站信息发布程序，加强信息审核把关，落实“三审三校”制度，促进内容管理的规范化，确保内容安全可靠。</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ascii="楷体" w:hAnsi="楷体" w:eastAsia="楷体" w:cs="楷体"/>
        </w:rPr>
      </w:pPr>
      <w:r>
        <w:rPr>
          <w:rFonts w:hint="eastAsia" w:ascii="楷体" w:hAnsi="楷体" w:eastAsia="楷体" w:cs="楷体"/>
          <w:lang w:val="en-US" w:eastAsia="zh-CN"/>
        </w:rPr>
        <w:t>（四）政府信息公开</w:t>
      </w:r>
      <w:r>
        <w:rPr>
          <w:rFonts w:hint="eastAsia" w:ascii="楷体" w:hAnsi="楷体" w:eastAsia="楷体" w:cs="楷体"/>
        </w:rPr>
        <w:t>平台建设情况</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积极</w:t>
      </w:r>
      <w:r>
        <w:rPr>
          <w:rFonts w:hint="eastAsia"/>
        </w:rPr>
        <w:t>依托</w:t>
      </w:r>
      <w:r>
        <w:rPr>
          <w:rFonts w:hint="eastAsia"/>
          <w:lang w:val="en-US" w:eastAsia="zh-CN"/>
        </w:rPr>
        <w:t>宁波市退役军人事务局微信公众号、镇灵通</w:t>
      </w:r>
      <w:r>
        <w:rPr>
          <w:rFonts w:hint="eastAsia"/>
        </w:rPr>
        <w:t>、</w:t>
      </w:r>
      <w:r>
        <w:rPr>
          <w:rFonts w:hint="eastAsia"/>
          <w:lang w:val="en-US" w:eastAsia="zh-CN"/>
        </w:rPr>
        <w:t>镇海</w:t>
      </w:r>
      <w:r>
        <w:rPr>
          <w:rFonts w:hint="eastAsia"/>
        </w:rPr>
        <w:t>发布等相关媒体及时公开主要业务工作进展情况，解读相关政策法规和文件，回应社会关切热点问题，宣传先进典型。</w:t>
      </w:r>
      <w:r>
        <w:rPr>
          <w:rFonts w:hint="eastAsia"/>
          <w:lang w:val="en-US" w:eastAsia="zh-CN"/>
        </w:rPr>
        <w:t>累计向各媒体投稿53篇（件）。</w:t>
      </w:r>
    </w:p>
    <w:p>
      <w:pPr>
        <w:keepNext w:val="0"/>
        <w:keepLines w:val="0"/>
        <w:pageBreakBefore w:val="0"/>
        <w:widowControl/>
        <w:kinsoku/>
        <w:wordWrap/>
        <w:overflowPunct/>
        <w:topLinePunct w:val="0"/>
        <w:autoSpaceDE/>
        <w:autoSpaceDN/>
        <w:bidi w:val="0"/>
        <w:adjustRightInd/>
        <w:snapToGrid/>
        <w:ind w:firstLine="632" w:firstLineChars="200"/>
        <w:textAlignment w:val="auto"/>
        <w:rPr>
          <w:rFonts w:hint="eastAsia" w:ascii="楷体" w:hAnsi="楷体" w:eastAsia="楷体" w:cs="楷体"/>
        </w:rPr>
      </w:pPr>
      <w:r>
        <w:rPr>
          <w:rFonts w:hint="eastAsia" w:ascii="楷体" w:hAnsi="楷体" w:eastAsia="楷体" w:cs="楷体"/>
          <w:lang w:eastAsia="zh-CN"/>
        </w:rPr>
        <w:t>（五）</w:t>
      </w:r>
      <w:r>
        <w:rPr>
          <w:rFonts w:hint="eastAsia" w:ascii="楷体" w:hAnsi="楷体" w:eastAsia="楷体" w:cs="楷体"/>
        </w:rPr>
        <w:t>监督保障情况</w:t>
      </w:r>
    </w:p>
    <w:p>
      <w:pPr>
        <w:keepNext w:val="0"/>
        <w:keepLines w:val="0"/>
        <w:pageBreakBefore w:val="0"/>
        <w:widowControl/>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坚持“以公开为常态、不公开为例外</w:t>
      </w:r>
      <w:r>
        <w:rPr>
          <w:rFonts w:hint="eastAsia"/>
          <w:lang w:eastAsia="zh-CN"/>
        </w:rPr>
        <w:t>”</w:t>
      </w:r>
      <w:r>
        <w:rPr>
          <w:rFonts w:hint="eastAsia"/>
        </w:rPr>
        <w:t>，遵循</w:t>
      </w:r>
      <w:r>
        <w:rPr>
          <w:rFonts w:hint="eastAsia"/>
          <w:lang w:eastAsia="zh-CN"/>
        </w:rPr>
        <w:t>“</w:t>
      </w:r>
      <w:r>
        <w:rPr>
          <w:rFonts w:hint="eastAsia"/>
        </w:rPr>
        <w:t>公正、公平、合法、便民”原则，结合本</w:t>
      </w:r>
      <w:r>
        <w:rPr>
          <w:rFonts w:hint="eastAsia"/>
          <w:lang w:val="en-US" w:eastAsia="zh-CN"/>
        </w:rPr>
        <w:t>机关</w:t>
      </w:r>
      <w:r>
        <w:rPr>
          <w:rFonts w:hint="eastAsia"/>
        </w:rPr>
        <w:t>工作职能出台了相关政府信息公开管理制度，通过健全信息公开发布机制，加强组织领导、人员保障、经费保障、督查问责，明确责任分工，畅通线上线下信息公开渠道，全方位、多维度推进政府信息公开工作提质增效。</w:t>
      </w:r>
    </w:p>
    <w:p>
      <w:pPr>
        <w:keepNext w:val="0"/>
        <w:keepLines w:val="0"/>
        <w:pageBreakBefore w:val="0"/>
        <w:widowControl/>
        <w:kinsoku/>
        <w:wordWrap/>
        <w:overflowPunct/>
        <w:topLinePunct w:val="0"/>
        <w:autoSpaceDE/>
        <w:autoSpaceDN/>
        <w:bidi w:val="0"/>
        <w:adjustRightInd/>
        <w:snapToGrid/>
        <w:spacing w:line="240" w:lineRule="auto"/>
        <w:ind w:firstLine="632" w:firstLineChars="200"/>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rPr>
        <w:t>二、主动公开政府信息情况</w:t>
      </w:r>
    </w:p>
    <w:tbl>
      <w:tblPr>
        <w:tblStyle w:val="4"/>
        <w:tblpPr w:leftFromText="180" w:rightFromText="180" w:vertAnchor="text" w:horzAnchor="page" w:tblpXSpec="center" w:tblpY="85"/>
        <w:tblOverlap w:val="never"/>
        <w:tblW w:w="9221" w:type="dxa"/>
        <w:tblInd w:w="0" w:type="dxa"/>
        <w:tblLayout w:type="fixed"/>
        <w:tblCellMar>
          <w:top w:w="0" w:type="dxa"/>
          <w:left w:w="0" w:type="dxa"/>
          <w:bottom w:w="0" w:type="dxa"/>
          <w:right w:w="0" w:type="dxa"/>
        </w:tblCellMar>
      </w:tblPr>
      <w:tblGrid>
        <w:gridCol w:w="1953"/>
        <w:gridCol w:w="2435"/>
        <w:gridCol w:w="2435"/>
        <w:gridCol w:w="2398"/>
      </w:tblGrid>
      <w:tr>
        <w:tblPrEx>
          <w:tblCellMar>
            <w:top w:w="0" w:type="dxa"/>
            <w:left w:w="0" w:type="dxa"/>
            <w:bottom w:w="0" w:type="dxa"/>
            <w:right w:w="0" w:type="dxa"/>
          </w:tblCellMar>
        </w:tblPrEx>
        <w:trPr>
          <w:trHeight w:val="397" w:hRule="exac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第二十条第（一）项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现行有效件数</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 xml:space="preserve">0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r>
              <w:rPr>
                <w:rFonts w:hint="eastAsia"/>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r>
              <w:rPr>
                <w:kern w:val="0"/>
                <w:sz w:val="21"/>
                <w:szCs w:val="21"/>
              </w:rPr>
              <w:t> </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r>
              <w:rPr>
                <w:kern w:val="0"/>
                <w:sz w:val="21"/>
                <w:szCs w:val="21"/>
              </w:rPr>
              <w:t> </w:t>
            </w:r>
          </w:p>
        </w:tc>
      </w:tr>
      <w:tr>
        <w:tblPrEx>
          <w:tblCellMar>
            <w:top w:w="0" w:type="dxa"/>
            <w:left w:w="0" w:type="dxa"/>
            <w:bottom w:w="0" w:type="dxa"/>
            <w:right w:w="0" w:type="dxa"/>
          </w:tblCellMar>
        </w:tblPrEx>
        <w:trPr>
          <w:trHeight w:val="397" w:hRule="exac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第二十条第（五）项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r>
              <w:rPr>
                <w:kern w:val="0"/>
                <w:sz w:val="21"/>
                <w:szCs w:val="21"/>
              </w:rPr>
              <w:t> </w:t>
            </w:r>
          </w:p>
        </w:tc>
      </w:tr>
      <w:tr>
        <w:tblPrEx>
          <w:tblCellMar>
            <w:top w:w="0" w:type="dxa"/>
            <w:left w:w="0" w:type="dxa"/>
            <w:bottom w:w="0" w:type="dxa"/>
            <w:right w:w="0" w:type="dxa"/>
          </w:tblCellMar>
        </w:tblPrEx>
        <w:trPr>
          <w:trHeight w:val="397" w:hRule="exac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第二十条第（六）项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r>
              <w:rPr>
                <w:rFonts w:hint="eastAsia"/>
                <w:kern w:val="0"/>
                <w:sz w:val="21"/>
                <w:szCs w:val="21"/>
              </w:rPr>
              <w:t>　</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 xml:space="preserve">0 </w:t>
            </w:r>
            <w:r>
              <w:rPr>
                <w:rFonts w:hint="eastAsia"/>
                <w:kern w:val="0"/>
                <w:sz w:val="21"/>
                <w:szCs w:val="21"/>
              </w:rPr>
              <w:t>　</w:t>
            </w:r>
          </w:p>
        </w:tc>
      </w:tr>
      <w:tr>
        <w:tblPrEx>
          <w:tblCellMar>
            <w:top w:w="0" w:type="dxa"/>
            <w:left w:w="0" w:type="dxa"/>
            <w:bottom w:w="0" w:type="dxa"/>
            <w:right w:w="0" w:type="dxa"/>
          </w:tblCellMar>
        </w:tblPrEx>
        <w:trPr>
          <w:trHeight w:val="397" w:hRule="exac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第二十条第（八）项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本年收费金额（单位：万元）</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　</w:t>
            </w:r>
            <w:r>
              <w:rPr>
                <w:rFonts w:hint="eastAsia"/>
                <w:kern w:val="0"/>
                <w:sz w:val="21"/>
                <w:szCs w:val="21"/>
                <w:lang w:val="en-US" w:eastAsia="zh-CN"/>
              </w:rPr>
              <w:t xml:space="preserve">0 </w:t>
            </w:r>
          </w:p>
        </w:tc>
      </w:tr>
    </w:tbl>
    <w:p>
      <w:pPr>
        <w:keepNext w:val="0"/>
        <w:keepLines w:val="0"/>
        <w:pageBreakBefore w:val="0"/>
        <w:widowControl/>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tbl>
      <w:tblPr>
        <w:tblStyle w:val="4"/>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108" w:type="dxa"/>
              <w:right w:w="108"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108" w:type="dxa"/>
              <w:right w:w="108"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108" w:type="dxa"/>
              <w:right w:w="108"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rPr>
                <w:sz w:val="21"/>
                <w:szCs w:val="21"/>
                <w:lang w:val="en-US" w:eastAsia="zh-CN"/>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lang w:val="en-US" w:eastAsia="zh-CN"/>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lang w:val="en-US" w:eastAsia="zh-CN"/>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lang w:val="en-US" w:eastAsia="zh-CN"/>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lang w:val="en-US" w:eastAsia="zh-CN"/>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lang w:val="en-US" w:eastAsia="zh-CN"/>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lang w:val="en-US" w:eastAsia="zh-CN"/>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14" w:type="dxa"/>
            <w:noWrap w:val="0"/>
            <w:tcMar>
              <w:left w:w="57" w:type="dxa"/>
              <w:right w:w="57" w:type="dxa"/>
            </w:tcMar>
            <w:vAlign w:val="center"/>
          </w:tcPr>
          <w:p>
            <w:pPr>
              <w:rPr>
                <w:sz w:val="21"/>
                <w:szCs w:val="21"/>
              </w:rPr>
            </w:pPr>
            <w:r>
              <w:rPr>
                <w:rFonts w:hint="eastAsia"/>
                <w:sz w:val="21"/>
                <w:szCs w:val="21"/>
              </w:rPr>
              <w:t>　</w:t>
            </w:r>
            <w:r>
              <w:rPr>
                <w:rFonts w:hint="eastAsia"/>
                <w:sz w:val="21"/>
                <w:szCs w:val="21"/>
                <w:lang w:val="en-US" w:eastAsia="zh-CN"/>
              </w:rPr>
              <w:t xml:space="preserve">0 </w:t>
            </w:r>
            <w:r>
              <w:rPr>
                <w:sz w:val="21"/>
                <w:szCs w:val="21"/>
              </w:rPr>
              <w:t> </w:t>
            </w:r>
          </w:p>
        </w:tc>
        <w:tc>
          <w:tcPr>
            <w:tcW w:w="714" w:type="dxa"/>
            <w:noWrap w:val="0"/>
            <w:tcMar>
              <w:left w:w="57" w:type="dxa"/>
              <w:right w:w="57" w:type="dxa"/>
            </w:tcMar>
            <w:vAlign w:val="center"/>
          </w:tcPr>
          <w:p>
            <w:pPr>
              <w:rPr>
                <w:sz w:val="21"/>
                <w:szCs w:val="21"/>
              </w:rPr>
            </w:pPr>
            <w:r>
              <w:rPr>
                <w:sz w:val="21"/>
                <w:szCs w:val="21"/>
              </w:rPr>
              <w:t> </w:t>
            </w:r>
            <w:r>
              <w:rPr>
                <w:rFonts w:hint="eastAsia"/>
                <w:sz w:val="21"/>
                <w:szCs w:val="21"/>
              </w:rPr>
              <w:t>　</w:t>
            </w:r>
            <w:r>
              <w:rPr>
                <w:rFonts w:hint="eastAsia"/>
                <w:sz w:val="21"/>
                <w:szCs w:val="21"/>
                <w:lang w:val="en-US" w:eastAsia="zh-CN"/>
              </w:rPr>
              <w:t xml:space="preserve">0 </w:t>
            </w:r>
          </w:p>
        </w:tc>
        <w:tc>
          <w:tcPr>
            <w:tcW w:w="701" w:type="dxa"/>
            <w:noWrap w:val="0"/>
            <w:tcMar>
              <w:left w:w="57" w:type="dxa"/>
              <w:right w:w="57" w:type="dxa"/>
            </w:tcMar>
            <w:vAlign w:val="top"/>
          </w:tcPr>
          <w:p>
            <w:pPr>
              <w:rPr>
                <w:rFonts w:hint="eastAsia"/>
                <w:sz w:val="21"/>
                <w:szCs w:val="21"/>
              </w:rPr>
            </w:pPr>
            <w:r>
              <w:rPr>
                <w:sz w:val="21"/>
                <w:szCs w:val="21"/>
              </w:rPr>
              <w:t> </w:t>
            </w:r>
            <w:r>
              <w:rPr>
                <w:rFonts w:hint="eastAsia"/>
                <w:sz w:val="21"/>
                <w:szCs w:val="21"/>
              </w:rPr>
              <w:t>　</w:t>
            </w:r>
            <w:r>
              <w:rPr>
                <w:rFonts w:hint="eastAsia"/>
                <w:sz w:val="21"/>
                <w:szCs w:val="21"/>
                <w:lang w:val="en-US" w:eastAsia="zh-CN"/>
              </w:rPr>
              <w:t xml:space="preserve">0 </w:t>
            </w:r>
          </w:p>
        </w:tc>
      </w:tr>
    </w:tbl>
    <w:p>
      <w:pPr>
        <w:keepNext w:val="0"/>
        <w:keepLines w:val="0"/>
        <w:pageBreakBefore w:val="0"/>
        <w:widowControl/>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4"/>
        <w:tblW w:w="936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top"/>
          </w:tcPr>
          <w:p>
            <w:pPr>
              <w:rPr>
                <w:sz w:val="21"/>
                <w:szCs w:val="21"/>
                <w:lang w:val="en-US" w:eastAsia="zh-CN"/>
              </w:rPr>
            </w:pPr>
            <w:r>
              <w:rPr>
                <w:rFonts w:hint="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sz w:val="21"/>
                <w:szCs w:val="21"/>
                <w:lang w:val="en-US" w:eastAsia="zh-CN"/>
              </w:rPr>
            </w:pPr>
            <w:r>
              <w:rPr>
                <w:rFonts w:hint="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top"/>
          </w:tcPr>
          <w:p>
            <w:pPr>
              <w:rPr>
                <w:sz w:val="21"/>
                <w:szCs w:val="21"/>
                <w:lang w:val="en-US" w:eastAsia="zh-CN"/>
              </w:rPr>
            </w:pPr>
            <w:r>
              <w:rPr>
                <w:rFonts w:hint="eastAsia"/>
                <w:sz w:val="21"/>
                <w:szCs w:val="21"/>
                <w:lang w:val="en-US" w:eastAsia="zh-CN"/>
              </w:rPr>
              <w:t>0</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sz w:val="21"/>
                <w:szCs w:val="21"/>
              </w:rPr>
            </w:pPr>
            <w:r>
              <w:rPr>
                <w:rFonts w:hint="eastAsia"/>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2021年度，</w:t>
      </w:r>
      <w:r>
        <w:rPr>
          <w:rFonts w:hint="default" w:ascii="Times New Roman" w:hAnsi="Times New Roman" w:cs="Times New Roman"/>
          <w:kern w:val="0"/>
          <w:sz w:val="32"/>
          <w:szCs w:val="32"/>
          <w:lang w:val="en-US" w:eastAsia="zh-CN"/>
        </w:rPr>
        <w:t>我局</w:t>
      </w:r>
      <w:r>
        <w:rPr>
          <w:rFonts w:hint="default" w:ascii="Times New Roman" w:hAnsi="Times New Roman" w:eastAsia="仿宋_GB2312" w:cs="Times New Roman"/>
          <w:kern w:val="0"/>
          <w:sz w:val="32"/>
          <w:szCs w:val="32"/>
        </w:rPr>
        <w:t>政府信息公开工作</w:t>
      </w:r>
      <w:r>
        <w:rPr>
          <w:rFonts w:hint="default" w:ascii="Times New Roman" w:hAnsi="Times New Roman" w:eastAsia="仿宋_GB2312" w:cs="Times New Roman"/>
          <w:kern w:val="0"/>
          <w:sz w:val="32"/>
          <w:szCs w:val="32"/>
          <w:lang w:val="en-US" w:eastAsia="zh-CN"/>
        </w:rPr>
        <w:t>仍</w:t>
      </w:r>
      <w:r>
        <w:rPr>
          <w:rFonts w:hint="default" w:ascii="Times New Roman" w:hAnsi="Times New Roman" w:eastAsia="仿宋_GB2312" w:cs="Times New Roman"/>
          <w:kern w:val="0"/>
          <w:sz w:val="32"/>
          <w:szCs w:val="32"/>
        </w:rPr>
        <w:t>存在一些问题和不足，主要是:政府信息公开的广度和深度有待进一步提高;政府信息公开专业能力有待提升;政府信息公开的主动性和创新力不足。</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针对上述存在的问题，</w:t>
      </w:r>
      <w:r>
        <w:rPr>
          <w:rFonts w:hint="default" w:ascii="Times New Roman" w:hAnsi="Times New Roman" w:eastAsia="仿宋_GB2312" w:cs="Times New Roman"/>
          <w:kern w:val="0"/>
          <w:sz w:val="32"/>
          <w:szCs w:val="32"/>
          <w:lang w:val="en-US" w:eastAsia="zh-CN"/>
        </w:rPr>
        <w:t>我局</w:t>
      </w:r>
      <w:r>
        <w:rPr>
          <w:rFonts w:hint="default" w:ascii="Times New Roman" w:hAnsi="Times New Roman" w:eastAsia="仿宋_GB2312" w:cs="Times New Roman"/>
          <w:kern w:val="0"/>
          <w:sz w:val="32"/>
          <w:szCs w:val="32"/>
        </w:rPr>
        <w:t>将进一步认真贯彻落实党中央、国务院关于全面推进政务公开工作的系列部署，确保信息公开实效。重点从以下方面加以改进:一是健全完善政务公开体制机制，切实发挥好政务公开工作组织领导作用，定期研究推进政务公开重要事项，共同推动</w:t>
      </w:r>
      <w:r>
        <w:rPr>
          <w:rFonts w:hint="default" w:ascii="Times New Roman" w:hAnsi="Times New Roman" w:eastAsia="仿宋_GB2312" w:cs="Times New Roman"/>
          <w:kern w:val="0"/>
          <w:sz w:val="32"/>
          <w:szCs w:val="32"/>
          <w:lang w:val="en-US" w:eastAsia="zh-CN"/>
        </w:rPr>
        <w:t>我局</w:t>
      </w:r>
      <w:r>
        <w:rPr>
          <w:rFonts w:hint="default" w:ascii="Times New Roman" w:hAnsi="Times New Roman" w:eastAsia="仿宋_GB2312" w:cs="Times New Roman"/>
          <w:kern w:val="0"/>
          <w:sz w:val="32"/>
          <w:szCs w:val="32"/>
        </w:rPr>
        <w:t>政务公开工作走深走实。二是提升政府信息公开专业能力。积极参加政务公开相关业务培训，落实各科室责任，细化工作分工，进一步提升</w:t>
      </w:r>
      <w:r>
        <w:rPr>
          <w:rFonts w:hint="default" w:ascii="Times New Roman" w:hAnsi="Times New Roman" w:eastAsia="仿宋_GB2312" w:cs="Times New Roman"/>
          <w:kern w:val="0"/>
          <w:sz w:val="32"/>
          <w:szCs w:val="32"/>
          <w:lang w:val="en-US" w:eastAsia="zh-CN"/>
        </w:rPr>
        <w:t>我局</w:t>
      </w:r>
      <w:r>
        <w:rPr>
          <w:rFonts w:hint="default" w:ascii="Times New Roman" w:hAnsi="Times New Roman" w:eastAsia="仿宋_GB2312" w:cs="Times New Roman"/>
          <w:kern w:val="0"/>
          <w:sz w:val="32"/>
          <w:szCs w:val="32"/>
        </w:rPr>
        <w:t>信息公开工作水平。三是加强政策解读回应。利用丰富多样的形式加强政策解读，加强对重大政策文件的背景、依据、调研过程等信息的解读力度，及时回应社会关切，形成信息公开的合力。</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2021年度，</w:t>
      </w:r>
      <w:r>
        <w:rPr>
          <w:rFonts w:hint="default" w:ascii="Times New Roman" w:hAnsi="Times New Roman" w:eastAsia="仿宋_GB2312" w:cs="Times New Roman"/>
          <w:kern w:val="0"/>
          <w:sz w:val="32"/>
          <w:szCs w:val="32"/>
          <w:lang w:val="en-US" w:eastAsia="zh-CN"/>
        </w:rPr>
        <w:t>我局</w:t>
      </w:r>
      <w:r>
        <w:rPr>
          <w:rFonts w:hint="default" w:ascii="Times New Roman" w:hAnsi="Times New Roman" w:eastAsia="仿宋_GB2312" w:cs="Times New Roman"/>
          <w:kern w:val="0"/>
          <w:sz w:val="32"/>
          <w:szCs w:val="32"/>
        </w:rPr>
        <w:t>未收到政府信息公开申请，故未产生任何有关政府信息公开信息处理事项及费用。后续将严格执行《政府信息公开信息处理费管理办法》和省、市相关规定，</w:t>
      </w:r>
      <w:r>
        <w:rPr>
          <w:rFonts w:hint="default" w:ascii="Times New Roman" w:hAnsi="Times New Roman" w:eastAsia="仿宋_GB2312" w:cs="Times New Roman"/>
          <w:kern w:val="0"/>
          <w:sz w:val="32"/>
          <w:szCs w:val="32"/>
          <w:lang w:val="en-US" w:eastAsia="zh-CN"/>
        </w:rPr>
        <w:t>继续</w:t>
      </w:r>
      <w:r>
        <w:rPr>
          <w:rFonts w:hint="default" w:ascii="Times New Roman" w:hAnsi="Times New Roman" w:eastAsia="仿宋_GB2312" w:cs="Times New Roman"/>
          <w:kern w:val="0"/>
          <w:sz w:val="32"/>
          <w:szCs w:val="32"/>
        </w:rPr>
        <w:t>全面、规范做好政府信息公开工作。</w:t>
      </w:r>
    </w:p>
    <w:p>
      <w:pPr>
        <w:spacing w:line="280" w:lineRule="exact"/>
        <w:ind w:firstLine="412" w:firstLineChars="200"/>
        <w:rPr>
          <w:rFonts w:hint="eastAsia"/>
          <w:kern w:val="0"/>
          <w:sz w:val="21"/>
          <w:szCs w:val="21"/>
        </w:rPr>
      </w:pPr>
      <w:bookmarkStart w:id="0" w:name="_GoBack"/>
      <w:bookmarkEnd w:id="0"/>
    </w:p>
    <w:sectPr>
      <w:footerReference r:id="rId3" w:type="default"/>
      <w:footerReference r:id="rId4" w:type="even"/>
      <w:pgSz w:w="11906" w:h="16838"/>
      <w:pgMar w:top="1701" w:right="1474" w:bottom="1134" w:left="1588" w:header="851" w:footer="992" w:gutter="0"/>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A3A5E"/>
    <w:rsid w:val="03101196"/>
    <w:rsid w:val="04CD2B71"/>
    <w:rsid w:val="0CAF4913"/>
    <w:rsid w:val="0E050853"/>
    <w:rsid w:val="330A3A5E"/>
    <w:rsid w:val="54F9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2022-01-06T06:09:00Z</dcterms:created>
  <dc:creator>admin</dc:creator>
  <cp:lastModifiedBy>区退役军人事务局</cp:lastModifiedBy>
  <dcterms:modified xsi:type="dcterms:W3CDTF">2022-01-11T06:32:59Z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