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kern w:val="0"/>
          <w:sz w:val="44"/>
          <w:szCs w:val="44"/>
          <w:lang w:val="en-US" w:eastAsia="zh-CN"/>
        </w:rPr>
      </w:pPr>
      <w:r>
        <w:rPr>
          <w:rFonts w:hint="eastAsia" w:ascii="方正小标宋简体" w:eastAsia="方正小标宋简体"/>
          <w:kern w:val="0"/>
          <w:sz w:val="44"/>
          <w:szCs w:val="44"/>
        </w:rPr>
        <w:t>宁波市镇海区</w:t>
      </w:r>
      <w:r>
        <w:rPr>
          <w:rFonts w:hint="eastAsia" w:ascii="方正小标宋简体" w:eastAsia="方正小标宋简体"/>
          <w:kern w:val="0"/>
          <w:sz w:val="44"/>
          <w:szCs w:val="44"/>
          <w:lang w:val="en-US" w:eastAsia="zh-CN"/>
        </w:rPr>
        <w:t>总工会</w:t>
      </w:r>
    </w:p>
    <w:p>
      <w:pPr>
        <w:spacing w:line="560" w:lineRule="exact"/>
        <w:jc w:val="center"/>
        <w:rPr>
          <w:rFonts w:hint="eastAsia" w:ascii="方正小标宋简体" w:eastAsia="方正小标宋简体"/>
          <w:kern w:val="0"/>
          <w:sz w:val="44"/>
          <w:szCs w:val="44"/>
        </w:rPr>
      </w:pPr>
      <w:r>
        <w:rPr>
          <w:rFonts w:hint="eastAsia" w:ascii="方正小标宋简体" w:eastAsia="方正小标宋简体"/>
          <w:kern w:val="0"/>
          <w:sz w:val="44"/>
          <w:szCs w:val="44"/>
        </w:rPr>
        <w:t>2021年度政府信息公开工作年度报告</w:t>
      </w:r>
    </w:p>
    <w:p>
      <w:pPr>
        <w:pStyle w:val="6"/>
        <w:keepNext w:val="0"/>
        <w:keepLines w:val="0"/>
        <w:pageBreakBefore w:val="0"/>
        <w:widowControl/>
        <w:kinsoku/>
        <w:wordWrap/>
        <w:overflowPunct/>
        <w:topLinePunct w:val="0"/>
        <w:autoSpaceDN/>
        <w:bidi w:val="0"/>
        <w:adjustRightInd/>
        <w:snapToGrid/>
        <w:spacing w:before="0" w:beforeAutospacing="0" w:after="0" w:afterAutospacing="0" w:line="520" w:lineRule="exact"/>
        <w:ind w:firstLine="640" w:firstLineChars="200"/>
        <w:jc w:val="both"/>
        <w:textAlignment w:val="auto"/>
        <w:rPr>
          <w:rFonts w:hint="eastAsia" w:ascii="仿宋_GB2312" w:hAnsi="仿宋_GB2312" w:eastAsia="仿宋_GB2312" w:cs="仿宋_GB2312"/>
          <w:color w:val="auto"/>
          <w:szCs w:val="32"/>
          <w:highlight w:val="none"/>
          <w:lang w:val="en-US" w:eastAsia="zh-CN"/>
        </w:rPr>
      </w:pPr>
    </w:p>
    <w:p>
      <w:pPr>
        <w:pStyle w:val="6"/>
        <w:keepNext w:val="0"/>
        <w:keepLines w:val="0"/>
        <w:pageBreakBefore w:val="0"/>
        <w:widowControl/>
        <w:kinsoku/>
        <w:wordWrap/>
        <w:overflowPunct/>
        <w:topLinePunct w:val="0"/>
        <w:autoSpaceDN/>
        <w:bidi w:val="0"/>
        <w:adjustRightInd/>
        <w:snapToGrid/>
        <w:spacing w:before="0" w:beforeAutospacing="0" w:after="0" w:afterAutospacing="0" w:line="520" w:lineRule="exact"/>
        <w:ind w:firstLine="640" w:firstLineChars="200"/>
        <w:jc w:val="both"/>
        <w:textAlignment w:val="auto"/>
        <w:rPr>
          <w:rFonts w:hint="eastAsia" w:ascii="仿宋_GB2312" w:hAnsi="仿宋_GB2312" w:eastAsia="仿宋_GB2312" w:cs="仿宋_GB2312"/>
          <w:color w:val="auto"/>
          <w:szCs w:val="32"/>
          <w:highlight w:val="none"/>
          <w:lang w:eastAsia="zh-CN"/>
        </w:rPr>
      </w:pPr>
      <w:r>
        <w:rPr>
          <w:rFonts w:hint="eastAsia" w:ascii="仿宋_GB2312" w:hAnsi="仿宋_GB2312" w:eastAsia="仿宋_GB2312" w:cs="仿宋_GB2312"/>
          <w:color w:val="auto"/>
          <w:szCs w:val="32"/>
          <w:highlight w:val="none"/>
          <w:lang w:val="en-US" w:eastAsia="zh-CN"/>
        </w:rPr>
        <w:t>编制说明：本年度报告根据《中华人民共和国政府信息公开条例》（国务院令第711号）和</w:t>
      </w:r>
      <w:r>
        <w:rPr>
          <w:rFonts w:hint="eastAsia" w:ascii="仿宋_GB2312" w:hAnsi="仿宋_GB2312" w:eastAsia="仿宋_GB2312" w:cs="仿宋_GB2312"/>
          <w:color w:val="auto"/>
          <w:spacing w:val="-4"/>
          <w:kern w:val="2"/>
          <w:highlight w:val="none"/>
          <w:lang w:val="en-US" w:eastAsia="zh-CN"/>
        </w:rPr>
        <w:t>《国务院办公厅政府信息与政务公开办公室关于印发中华人民共和国政府信息公开工作年度报告格式的通知》（国办公开办函〔2021〕30号</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Cs w:val="32"/>
          <w:highlight w:val="none"/>
          <w:lang w:val="en-US" w:eastAsia="zh-CN"/>
        </w:rPr>
        <w:t>要求，全文包含</w:t>
      </w:r>
      <w:r>
        <w:rPr>
          <w:rFonts w:hint="eastAsia" w:ascii="仿宋_GB2312" w:hAnsi="仿宋_GB2312" w:eastAsia="仿宋_GB2312" w:cs="仿宋_GB2312"/>
          <w:color w:val="auto"/>
          <w:spacing w:val="-4"/>
          <w:kern w:val="2"/>
          <w:highlight w:val="none"/>
          <w:lang w:val="en-US" w:eastAsia="zh-CN"/>
        </w:rPr>
        <w:t>总体情况、主动公开信息、预决算公开、工作信息、其他需要公开的事项五</w:t>
      </w:r>
      <w:r>
        <w:rPr>
          <w:rFonts w:hint="eastAsia" w:ascii="仿宋_GB2312" w:hAnsi="仿宋_GB2312" w:eastAsia="仿宋_GB2312" w:cs="仿宋_GB2312"/>
          <w:color w:val="auto"/>
          <w:szCs w:val="32"/>
          <w:highlight w:val="none"/>
          <w:lang w:val="en-US" w:eastAsia="zh-CN"/>
        </w:rPr>
        <w:t>个方面。</w:t>
      </w:r>
      <w:r>
        <w:rPr>
          <w:rFonts w:hint="eastAsia" w:ascii="仿宋_GB2312" w:hAnsi="仿宋_GB2312" w:eastAsia="仿宋_GB2312" w:cs="仿宋_GB2312"/>
          <w:color w:val="auto"/>
          <w:szCs w:val="32"/>
          <w:highlight w:val="none"/>
          <w:lang w:eastAsia="zh-CN"/>
        </w:rPr>
        <w:t>本报告中所列数据的统计期限从202</w:t>
      </w:r>
      <w:r>
        <w:rPr>
          <w:rFonts w:hint="eastAsia" w:ascii="仿宋_GB2312" w:hAnsi="仿宋_GB2312" w:eastAsia="仿宋_GB2312" w:cs="仿宋_GB2312"/>
          <w:color w:val="auto"/>
          <w:szCs w:val="32"/>
          <w:highlight w:val="none"/>
          <w:lang w:val="en-US" w:eastAsia="zh-CN"/>
        </w:rPr>
        <w:t>1</w:t>
      </w:r>
      <w:r>
        <w:rPr>
          <w:rFonts w:hint="eastAsia" w:ascii="仿宋_GB2312" w:hAnsi="仿宋_GB2312" w:eastAsia="仿宋_GB2312" w:cs="仿宋_GB2312"/>
          <w:color w:val="auto"/>
          <w:szCs w:val="32"/>
          <w:highlight w:val="none"/>
          <w:lang w:eastAsia="zh-CN"/>
        </w:rPr>
        <w:t>年1月1日到1</w:t>
      </w:r>
      <w:r>
        <w:rPr>
          <w:rFonts w:hint="eastAsia" w:ascii="仿宋_GB2312" w:hAnsi="仿宋_GB2312" w:eastAsia="仿宋_GB2312" w:cs="仿宋_GB2312"/>
          <w:color w:val="auto"/>
          <w:szCs w:val="32"/>
          <w:highlight w:val="none"/>
          <w:lang w:val="en-US" w:eastAsia="zh-CN"/>
        </w:rPr>
        <w:t>2</w:t>
      </w:r>
      <w:r>
        <w:rPr>
          <w:rFonts w:hint="eastAsia" w:ascii="仿宋_GB2312" w:hAnsi="仿宋_GB2312" w:eastAsia="仿宋_GB2312" w:cs="仿宋_GB2312"/>
          <w:color w:val="auto"/>
          <w:szCs w:val="32"/>
          <w:highlight w:val="none"/>
          <w:lang w:eastAsia="zh-CN"/>
        </w:rPr>
        <w:t>月31日止。如对本报告所涉内容有咨询或疑问，请与宁波市镇海区</w:t>
      </w:r>
      <w:r>
        <w:rPr>
          <w:rFonts w:hint="eastAsia" w:ascii="仿宋_GB2312" w:hAnsi="仿宋_GB2312" w:eastAsia="仿宋_GB2312" w:cs="仿宋_GB2312"/>
          <w:color w:val="auto"/>
          <w:szCs w:val="32"/>
          <w:highlight w:val="none"/>
          <w:lang w:val="en-US" w:eastAsia="zh-CN"/>
        </w:rPr>
        <w:t>总工会办公室</w:t>
      </w:r>
      <w:r>
        <w:rPr>
          <w:rFonts w:hint="eastAsia" w:ascii="仿宋_GB2312" w:hAnsi="仿宋_GB2312" w:eastAsia="仿宋_GB2312" w:cs="仿宋_GB2312"/>
          <w:color w:val="auto"/>
          <w:szCs w:val="32"/>
          <w:highlight w:val="none"/>
          <w:lang w:eastAsia="zh-CN"/>
        </w:rPr>
        <w:t>（地址：宁波市镇海区民和路</w:t>
      </w:r>
      <w:r>
        <w:rPr>
          <w:rFonts w:hint="eastAsia" w:ascii="仿宋_GB2312" w:hAnsi="仿宋_GB2312" w:eastAsia="仿宋_GB2312" w:cs="仿宋_GB2312"/>
          <w:color w:val="auto"/>
          <w:szCs w:val="32"/>
          <w:highlight w:val="none"/>
          <w:lang w:val="en-US" w:eastAsia="zh-CN"/>
        </w:rPr>
        <w:t>569号办公室</w:t>
      </w:r>
      <w:r>
        <w:rPr>
          <w:rFonts w:hint="eastAsia" w:ascii="仿宋_GB2312" w:hAnsi="仿宋_GB2312" w:eastAsia="仿宋_GB2312" w:cs="仿宋_GB2312"/>
          <w:color w:val="auto"/>
          <w:szCs w:val="32"/>
          <w:highlight w:val="none"/>
          <w:lang w:eastAsia="zh-CN"/>
        </w:rPr>
        <w:t>，邮编：315</w:t>
      </w:r>
      <w:r>
        <w:rPr>
          <w:rFonts w:hint="eastAsia" w:ascii="仿宋_GB2312" w:hAnsi="仿宋_GB2312" w:eastAsia="仿宋_GB2312" w:cs="仿宋_GB2312"/>
          <w:color w:val="auto"/>
          <w:szCs w:val="32"/>
          <w:highlight w:val="none"/>
          <w:lang w:val="en-US" w:eastAsia="zh-CN"/>
        </w:rPr>
        <w:t>2</w:t>
      </w:r>
      <w:r>
        <w:rPr>
          <w:rFonts w:hint="eastAsia" w:ascii="仿宋_GB2312" w:hAnsi="仿宋_GB2312" w:eastAsia="仿宋_GB2312" w:cs="仿宋_GB2312"/>
          <w:color w:val="auto"/>
          <w:szCs w:val="32"/>
          <w:highlight w:val="none"/>
          <w:lang w:eastAsia="zh-CN"/>
        </w:rPr>
        <w:t>0</w:t>
      </w:r>
      <w:r>
        <w:rPr>
          <w:rFonts w:hint="eastAsia" w:ascii="仿宋_GB2312" w:hAnsi="仿宋_GB2312" w:cs="仿宋_GB2312"/>
          <w:color w:val="auto"/>
          <w:szCs w:val="32"/>
          <w:highlight w:val="none"/>
          <w:lang w:val="en-US" w:eastAsia="zh-CN"/>
        </w:rPr>
        <w:t>2</w:t>
      </w:r>
      <w:r>
        <w:rPr>
          <w:rFonts w:hint="eastAsia" w:ascii="仿宋_GB2312" w:hAnsi="仿宋_GB2312" w:eastAsia="仿宋_GB2312" w:cs="仿宋_GB2312"/>
          <w:color w:val="auto"/>
          <w:szCs w:val="32"/>
          <w:highlight w:val="none"/>
          <w:lang w:val="en-US" w:eastAsia="zh-CN"/>
        </w:rPr>
        <w:t>,</w:t>
      </w:r>
      <w:r>
        <w:rPr>
          <w:rFonts w:hint="eastAsia" w:ascii="仿宋_GB2312" w:hAnsi="仿宋_GB2312" w:eastAsia="仿宋_GB2312" w:cs="仿宋_GB2312"/>
          <w:color w:val="auto"/>
          <w:szCs w:val="32"/>
          <w:highlight w:val="none"/>
          <w:lang w:eastAsia="zh-CN"/>
        </w:rPr>
        <w:t>电话:0574-892</w:t>
      </w:r>
      <w:r>
        <w:rPr>
          <w:rFonts w:hint="eastAsia" w:ascii="仿宋_GB2312" w:hAnsi="仿宋_GB2312" w:eastAsia="仿宋_GB2312" w:cs="仿宋_GB2312"/>
          <w:color w:val="auto"/>
          <w:szCs w:val="32"/>
          <w:highlight w:val="none"/>
          <w:lang w:val="en-US" w:eastAsia="zh-CN"/>
        </w:rPr>
        <w:t>87876</w:t>
      </w:r>
      <w:r>
        <w:rPr>
          <w:rFonts w:hint="eastAsia" w:ascii="仿宋_GB2312" w:hAnsi="仿宋_GB2312" w:eastAsia="仿宋_GB2312" w:cs="仿宋_GB2312"/>
          <w:color w:val="auto"/>
          <w:szCs w:val="32"/>
          <w:highlight w:val="none"/>
          <w:lang w:eastAsia="zh-CN"/>
        </w:rPr>
        <w:t>）。</w:t>
      </w:r>
    </w:p>
    <w:p>
      <w:pPr>
        <w:pStyle w:val="6"/>
        <w:keepNext w:val="0"/>
        <w:keepLines w:val="0"/>
        <w:pageBreakBefore w:val="0"/>
        <w:widowControl/>
        <w:kinsoku/>
        <w:wordWrap/>
        <w:overflowPunct/>
        <w:topLinePunct w:val="0"/>
        <w:autoSpaceDN/>
        <w:bidi w:val="0"/>
        <w:adjustRightInd/>
        <w:snapToGrid/>
        <w:spacing w:before="0" w:beforeAutospacing="0" w:after="0" w:afterAutospacing="0" w:line="520" w:lineRule="exact"/>
        <w:ind w:firstLine="640" w:firstLineChars="200"/>
        <w:jc w:val="both"/>
        <w:textAlignment w:val="auto"/>
        <w:rPr>
          <w:rFonts w:hint="eastAsia" w:ascii="黑体" w:hAnsi="黑体" w:eastAsia="黑体" w:cs="Times New Roman"/>
          <w:szCs w:val="32"/>
        </w:rPr>
      </w:pPr>
      <w:r>
        <w:rPr>
          <w:rFonts w:hint="eastAsia" w:ascii="黑体" w:hAnsi="黑体" w:eastAsia="黑体" w:cs="Times New Roman"/>
          <w:szCs w:val="32"/>
        </w:rPr>
        <w:t>一、总体情况</w:t>
      </w:r>
    </w:p>
    <w:p>
      <w:pPr>
        <w:pStyle w:val="6"/>
        <w:keepNext w:val="0"/>
        <w:keepLines w:val="0"/>
        <w:pageBreakBefore w:val="0"/>
        <w:widowControl/>
        <w:kinsoku/>
        <w:wordWrap/>
        <w:overflowPunct/>
        <w:topLinePunct w:val="0"/>
        <w:autoSpaceDN/>
        <w:bidi w:val="0"/>
        <w:adjustRightInd/>
        <w:snapToGrid/>
        <w:spacing w:before="0" w:beforeAutospacing="0" w:after="0" w:afterAutospacing="0" w:line="520" w:lineRule="exact"/>
        <w:ind w:firstLine="640" w:firstLineChars="200"/>
        <w:jc w:val="both"/>
        <w:textAlignment w:val="auto"/>
        <w:rPr>
          <w:rFonts w:hint="eastAsia" w:ascii="Times New Roman" w:hAnsi="Times New Roman" w:cs="Times New Roman"/>
          <w:szCs w:val="32"/>
          <w:lang w:eastAsia="zh-CN"/>
        </w:rPr>
      </w:pPr>
      <w:r>
        <w:rPr>
          <w:rFonts w:hint="eastAsia" w:ascii="仿宋_GB2312" w:hAnsi="仿宋_GB2312" w:eastAsia="仿宋_GB2312" w:cs="仿宋_GB2312"/>
          <w:szCs w:val="32"/>
          <w:lang w:val="en-US" w:eastAsia="zh-CN"/>
        </w:rPr>
        <w:t>2021年，</w:t>
      </w:r>
      <w:r>
        <w:rPr>
          <w:rFonts w:hint="eastAsia" w:ascii="仿宋_GB2312" w:hAnsi="仿宋_GB2312" w:cs="仿宋_GB2312"/>
          <w:szCs w:val="32"/>
          <w:lang w:val="en-US" w:eastAsia="zh-CN"/>
        </w:rPr>
        <w:t>镇海区总工会</w:t>
      </w:r>
      <w:r>
        <w:rPr>
          <w:rFonts w:hint="eastAsia" w:ascii="仿宋_GB2312" w:hAnsi="仿宋_GB2312" w:eastAsia="仿宋_GB2312" w:cs="仿宋_GB2312"/>
          <w:szCs w:val="32"/>
          <w:lang w:val="en-US" w:eastAsia="zh-CN"/>
        </w:rPr>
        <w:t>严格</w:t>
      </w:r>
      <w:r>
        <w:rPr>
          <w:rFonts w:hint="eastAsia" w:ascii="仿宋_GB2312" w:hAnsi="仿宋_GB2312" w:cs="仿宋_GB2312"/>
          <w:szCs w:val="32"/>
          <w:lang w:val="en-US" w:eastAsia="zh-CN"/>
        </w:rPr>
        <w:t>贯彻</w:t>
      </w:r>
      <w:r>
        <w:rPr>
          <w:rFonts w:hint="eastAsia" w:ascii="仿宋_GB2312" w:hAnsi="仿宋_GB2312" w:eastAsia="仿宋_GB2312" w:cs="仿宋_GB2312"/>
          <w:szCs w:val="32"/>
          <w:lang w:val="en-US" w:eastAsia="zh-CN"/>
        </w:rPr>
        <w:t>《中华人民共和国政府信息公开条例》，认真落实</w:t>
      </w:r>
      <w:r>
        <w:rPr>
          <w:rFonts w:hint="eastAsia" w:ascii="仿宋_GB2312" w:hAnsi="仿宋_GB2312" w:cs="仿宋_GB2312"/>
          <w:szCs w:val="32"/>
          <w:lang w:val="en-US" w:eastAsia="zh-CN"/>
        </w:rPr>
        <w:t>部门责任，加强对信息公开主动性，有效</w:t>
      </w:r>
      <w:r>
        <w:rPr>
          <w:rFonts w:hint="eastAsia" w:ascii="仿宋_GB2312" w:hAnsi="仿宋_GB2312" w:eastAsia="仿宋_GB2312" w:cs="仿宋_GB2312"/>
          <w:szCs w:val="32"/>
          <w:lang w:val="en-US" w:eastAsia="zh-CN"/>
        </w:rPr>
        <w:t>推动行政决策透明化、发布解读一体化、公开载体多元化、申请处理规范化。</w:t>
      </w:r>
    </w:p>
    <w:p>
      <w:pPr>
        <w:pStyle w:val="6"/>
        <w:keepNext w:val="0"/>
        <w:keepLines w:val="0"/>
        <w:pageBreakBefore w:val="0"/>
        <w:widowControl/>
        <w:kinsoku/>
        <w:wordWrap/>
        <w:overflowPunct/>
        <w:topLinePunct w:val="0"/>
        <w:autoSpaceDN/>
        <w:bidi w:val="0"/>
        <w:adjustRightInd/>
        <w:snapToGrid/>
        <w:spacing w:before="0" w:beforeAutospacing="0" w:after="0" w:afterAutospacing="0" w:line="520" w:lineRule="exact"/>
        <w:ind w:firstLine="643" w:firstLineChars="200"/>
        <w:jc w:val="both"/>
        <w:textAlignment w:val="auto"/>
        <w:rPr>
          <w:rFonts w:hint="eastAsia" w:ascii="楷体_GB2312" w:hAnsi="楷体_GB2312" w:eastAsia="楷体_GB2312" w:cs="楷体_GB2312"/>
          <w:b/>
          <w:bCs/>
          <w:szCs w:val="32"/>
          <w:lang w:eastAsia="zh-CN"/>
        </w:rPr>
      </w:pPr>
      <w:r>
        <w:rPr>
          <w:rFonts w:hint="eastAsia" w:ascii="楷体_GB2312" w:hAnsi="楷体_GB2312" w:eastAsia="楷体_GB2312" w:cs="楷体_GB2312"/>
          <w:b/>
          <w:bCs/>
          <w:szCs w:val="32"/>
          <w:lang w:eastAsia="zh-CN"/>
        </w:rPr>
        <w:t>（一）主动公开情况</w:t>
      </w:r>
    </w:p>
    <w:p>
      <w:pPr>
        <w:pStyle w:val="6"/>
        <w:keepNext w:val="0"/>
        <w:keepLines w:val="0"/>
        <w:pageBreakBefore w:val="0"/>
        <w:widowControl/>
        <w:kinsoku/>
        <w:wordWrap/>
        <w:overflowPunct/>
        <w:topLinePunct w:val="0"/>
        <w:autoSpaceDN/>
        <w:bidi w:val="0"/>
        <w:adjustRightInd/>
        <w:snapToGrid/>
        <w:spacing w:before="0" w:beforeAutospacing="0" w:after="0" w:afterAutospacing="0" w:line="520" w:lineRule="exact"/>
        <w:ind w:firstLine="640" w:firstLineChars="200"/>
        <w:jc w:val="both"/>
        <w:textAlignment w:val="auto"/>
        <w:rPr>
          <w:rFonts w:hint="eastAsia" w:ascii="Times New Roman" w:hAnsi="Times New Roman" w:cs="Times New Roman"/>
          <w:szCs w:val="32"/>
          <w:lang w:val="en-US" w:eastAsia="zh-CN"/>
        </w:rPr>
      </w:pPr>
      <w:r>
        <w:rPr>
          <w:rFonts w:hint="eastAsia" w:ascii="Times New Roman" w:hAnsi="Times New Roman" w:cs="Times New Roman"/>
          <w:szCs w:val="32"/>
          <w:lang w:eastAsia="zh-CN"/>
        </w:rPr>
        <w:t>主动公开政府信息</w:t>
      </w:r>
      <w:r>
        <w:rPr>
          <w:rFonts w:hint="eastAsia" w:ascii="Times New Roman" w:hAnsi="Times New Roman" w:cs="Times New Roman"/>
          <w:szCs w:val="32"/>
          <w:lang w:val="en-US" w:eastAsia="zh-CN"/>
        </w:rPr>
        <w:t>12</w:t>
      </w:r>
      <w:r>
        <w:rPr>
          <w:rFonts w:hint="eastAsia" w:ascii="Times New Roman" w:hAnsi="Times New Roman" w:cs="Times New Roman"/>
          <w:szCs w:val="32"/>
          <w:lang w:eastAsia="zh-CN"/>
        </w:rPr>
        <w:t>条（不同渠道和方式公开相同信息计1条），</w:t>
      </w:r>
      <w:r>
        <w:rPr>
          <w:rFonts w:hint="eastAsia" w:ascii="Times New Roman" w:hAnsi="Times New Roman" w:cs="Times New Roman"/>
          <w:szCs w:val="32"/>
          <w:lang w:val="en-US" w:eastAsia="zh-CN"/>
        </w:rPr>
        <w:t>政府网站公开12条；</w:t>
      </w:r>
    </w:p>
    <w:p>
      <w:pPr>
        <w:pStyle w:val="6"/>
        <w:keepNext w:val="0"/>
        <w:keepLines w:val="0"/>
        <w:pageBreakBefore w:val="0"/>
        <w:widowControl/>
        <w:kinsoku/>
        <w:wordWrap/>
        <w:overflowPunct/>
        <w:topLinePunct w:val="0"/>
        <w:autoSpaceDN/>
        <w:bidi w:val="0"/>
        <w:adjustRightInd/>
        <w:snapToGrid/>
        <w:spacing w:before="0" w:beforeAutospacing="0" w:after="0" w:afterAutospacing="0" w:line="520" w:lineRule="exact"/>
        <w:ind w:firstLine="643" w:firstLineChars="200"/>
        <w:jc w:val="both"/>
        <w:textAlignment w:val="auto"/>
        <w:rPr>
          <w:rFonts w:hint="eastAsia" w:ascii="楷体_GB2312" w:hAnsi="楷体_GB2312" w:eastAsia="楷体_GB2312" w:cs="楷体_GB2312"/>
          <w:b/>
          <w:bCs/>
          <w:szCs w:val="32"/>
          <w:lang w:val="en-US" w:eastAsia="zh-CN"/>
        </w:rPr>
      </w:pPr>
      <w:r>
        <w:rPr>
          <w:rFonts w:hint="eastAsia" w:ascii="楷体_GB2312" w:hAnsi="楷体_GB2312" w:eastAsia="楷体_GB2312" w:cs="楷体_GB2312"/>
          <w:b/>
          <w:bCs/>
          <w:szCs w:val="32"/>
          <w:lang w:val="en-US" w:eastAsia="zh-CN"/>
        </w:rPr>
        <w:t>（二）依申请公开情况</w:t>
      </w:r>
    </w:p>
    <w:p>
      <w:pPr>
        <w:pStyle w:val="6"/>
        <w:keepNext w:val="0"/>
        <w:keepLines w:val="0"/>
        <w:pageBreakBefore w:val="0"/>
        <w:widowControl/>
        <w:kinsoku/>
        <w:wordWrap/>
        <w:overflowPunct/>
        <w:topLinePunct w:val="0"/>
        <w:autoSpaceDN/>
        <w:bidi w:val="0"/>
        <w:adjustRightInd/>
        <w:snapToGrid/>
        <w:spacing w:before="0" w:beforeAutospacing="0" w:after="0" w:afterAutospacing="0" w:line="520" w:lineRule="exact"/>
        <w:ind w:firstLine="640" w:firstLineChars="200"/>
        <w:jc w:val="both"/>
        <w:textAlignment w:val="auto"/>
        <w:rPr>
          <w:rFonts w:hint="eastAsia" w:ascii="仿宋_GB2312" w:hAnsi="仿宋_GB2312" w:eastAsia="仿宋_GB2312" w:cs="仿宋_GB2312"/>
          <w:szCs w:val="32"/>
          <w:lang w:eastAsia="zh-CN"/>
        </w:rPr>
      </w:pPr>
      <w:r>
        <w:rPr>
          <w:rFonts w:hint="eastAsia" w:ascii="Times New Roman" w:hAnsi="Times New Roman"/>
          <w:szCs w:val="32"/>
        </w:rPr>
        <w:t>受理依申请公开</w:t>
      </w:r>
      <w:r>
        <w:rPr>
          <w:rFonts w:hint="eastAsia" w:ascii="Times New Roman" w:hAnsi="Times New Roman"/>
          <w:szCs w:val="32"/>
          <w:lang w:val="en-US" w:eastAsia="zh-CN"/>
        </w:rPr>
        <w:t>0件，</w:t>
      </w:r>
      <w:r>
        <w:rPr>
          <w:rFonts w:hint="eastAsia" w:ascii="Times New Roman" w:hAnsi="Times New Roman"/>
          <w:szCs w:val="32"/>
          <w:lang w:eastAsia="zh-CN"/>
        </w:rPr>
        <w:t>无</w:t>
      </w:r>
      <w:r>
        <w:rPr>
          <w:rFonts w:hint="eastAsia" w:ascii="仿宋_GB2312" w:hAnsi="仿宋_GB2312" w:eastAsia="仿宋_GB2312" w:cs="仿宋_GB2312"/>
          <w:szCs w:val="32"/>
          <w:lang w:eastAsia="zh-CN"/>
        </w:rPr>
        <w:t>因信息公开引起的行政复议</w:t>
      </w:r>
      <w:r>
        <w:rPr>
          <w:rFonts w:hint="eastAsia" w:ascii="仿宋_GB2312" w:hAnsi="仿宋_GB2312" w:cs="仿宋_GB2312"/>
          <w:szCs w:val="32"/>
          <w:lang w:eastAsia="zh-CN"/>
        </w:rPr>
        <w:t>或</w:t>
      </w:r>
      <w:r>
        <w:rPr>
          <w:rFonts w:hint="eastAsia" w:ascii="仿宋_GB2312" w:hAnsi="仿宋_GB2312" w:eastAsia="仿宋_GB2312" w:cs="仿宋_GB2312"/>
          <w:szCs w:val="32"/>
          <w:lang w:eastAsia="zh-CN"/>
        </w:rPr>
        <w:t>诉讼。</w:t>
      </w:r>
    </w:p>
    <w:p>
      <w:pPr>
        <w:pStyle w:val="6"/>
        <w:keepNext w:val="0"/>
        <w:keepLines w:val="0"/>
        <w:pageBreakBefore w:val="0"/>
        <w:widowControl/>
        <w:kinsoku/>
        <w:wordWrap/>
        <w:overflowPunct/>
        <w:topLinePunct w:val="0"/>
        <w:autoSpaceDN/>
        <w:bidi w:val="0"/>
        <w:adjustRightInd/>
        <w:snapToGrid/>
        <w:spacing w:before="0" w:beforeAutospacing="0" w:after="0" w:afterAutospacing="0" w:line="560" w:lineRule="exact"/>
        <w:ind w:firstLine="643" w:firstLineChars="200"/>
        <w:jc w:val="both"/>
        <w:textAlignment w:val="auto"/>
        <w:rPr>
          <w:rFonts w:hint="eastAsia" w:ascii="楷体_GB2312" w:hAnsi="楷体_GB2312" w:eastAsia="楷体_GB2312" w:cs="楷体_GB2312"/>
          <w:b/>
          <w:bCs/>
          <w:szCs w:val="32"/>
          <w:lang w:val="en-US" w:eastAsia="zh-CN"/>
        </w:rPr>
      </w:pPr>
      <w:r>
        <w:rPr>
          <w:rFonts w:hint="eastAsia" w:ascii="楷体_GB2312" w:hAnsi="楷体_GB2312" w:eastAsia="楷体_GB2312" w:cs="楷体_GB2312"/>
          <w:b/>
          <w:bCs/>
          <w:szCs w:val="32"/>
          <w:lang w:val="en-US" w:eastAsia="zh-CN"/>
        </w:rPr>
        <w:t>（三）政府信息管理情况</w:t>
      </w:r>
    </w:p>
    <w:p>
      <w:pPr>
        <w:pStyle w:val="6"/>
        <w:keepNext w:val="0"/>
        <w:keepLines w:val="0"/>
        <w:pageBreakBefore w:val="0"/>
        <w:widowControl/>
        <w:kinsoku/>
        <w:wordWrap/>
        <w:overflowPunct/>
        <w:topLinePunct w:val="0"/>
        <w:autoSpaceDN/>
        <w:bidi w:val="0"/>
        <w:adjustRightInd/>
        <w:snapToGrid/>
        <w:spacing w:before="0" w:beforeAutospacing="0" w:after="0" w:afterAutospacing="0" w:line="520" w:lineRule="exact"/>
        <w:ind w:firstLine="643" w:firstLineChars="200"/>
        <w:jc w:val="both"/>
        <w:textAlignment w:val="auto"/>
        <w:rPr>
          <w:rFonts w:hint="eastAsia" w:ascii="楷体_GB2312" w:hAnsi="楷体_GB2312" w:eastAsia="楷体_GB2312" w:cs="楷体_GB2312"/>
          <w:b/>
          <w:bCs/>
          <w:szCs w:val="32"/>
          <w:lang w:val="en-US" w:eastAsia="zh-CN"/>
        </w:rPr>
      </w:pPr>
      <w:r>
        <w:rPr>
          <w:rFonts w:hint="eastAsia" w:ascii="Times New Roman" w:hAnsi="Times New Roman" w:cs="Times New Roman"/>
          <w:b/>
          <w:bCs/>
          <w:szCs w:val="32"/>
          <w:lang w:val="en-US" w:eastAsia="zh-CN"/>
        </w:rPr>
        <w:t>一是</w:t>
      </w:r>
      <w:r>
        <w:rPr>
          <w:rFonts w:hint="eastAsia" w:ascii="Times New Roman" w:hAnsi="Times New Roman" w:cs="Times New Roman"/>
          <w:szCs w:val="32"/>
          <w:lang w:val="en-US" w:eastAsia="zh-CN"/>
        </w:rPr>
        <w:t>规范信息</w:t>
      </w:r>
      <w:r>
        <w:rPr>
          <w:rFonts w:hint="default" w:ascii="Times New Roman" w:hAnsi="Times New Roman" w:cs="Times New Roman"/>
          <w:szCs w:val="32"/>
          <w:lang w:val="en-US" w:eastAsia="zh-CN"/>
        </w:rPr>
        <w:t>主动公开制度、依申请公开制度、保密制度</w:t>
      </w:r>
      <w:r>
        <w:rPr>
          <w:rFonts w:hint="eastAsia" w:ascii="Times New Roman" w:hAnsi="Times New Roman" w:cs="Times New Roman"/>
          <w:szCs w:val="32"/>
          <w:lang w:val="en-US" w:eastAsia="zh-CN"/>
        </w:rPr>
        <w:t>等</w:t>
      </w:r>
      <w:r>
        <w:rPr>
          <w:rFonts w:hint="default" w:ascii="Times New Roman" w:hAnsi="Times New Roman" w:cs="Times New Roman"/>
          <w:szCs w:val="32"/>
          <w:lang w:val="en-US" w:eastAsia="zh-CN"/>
        </w:rPr>
        <w:t>。以</w:t>
      </w:r>
      <w:r>
        <w:rPr>
          <w:rFonts w:hint="eastAsia" w:ascii="Times New Roman" w:hAnsi="Times New Roman" w:cs="Times New Roman"/>
          <w:szCs w:val="32"/>
          <w:lang w:val="en-US" w:eastAsia="zh-CN"/>
        </w:rPr>
        <w:t>职工为导向，公开工会的</w:t>
      </w:r>
      <w:r>
        <w:rPr>
          <w:rFonts w:hint="default" w:ascii="Times New Roman" w:hAnsi="Times New Roman" w:cs="Times New Roman"/>
          <w:szCs w:val="32"/>
          <w:lang w:val="en-US" w:eastAsia="zh-CN"/>
        </w:rPr>
        <w:t>热点</w:t>
      </w:r>
      <w:r>
        <w:rPr>
          <w:rFonts w:hint="eastAsia" w:ascii="Times New Roman" w:hAnsi="Times New Roman" w:cs="Times New Roman"/>
          <w:szCs w:val="32"/>
          <w:lang w:val="en-US" w:eastAsia="zh-CN"/>
        </w:rPr>
        <w:t>政策</w:t>
      </w:r>
      <w:r>
        <w:rPr>
          <w:rFonts w:hint="default" w:ascii="Times New Roman" w:hAnsi="Times New Roman" w:cs="Times New Roman"/>
          <w:szCs w:val="32"/>
          <w:lang w:val="en-US" w:eastAsia="zh-CN"/>
        </w:rPr>
        <w:t>为重点，在保密基础上，做到主动真实地公</w:t>
      </w:r>
      <w:r>
        <w:rPr>
          <w:rFonts w:hint="eastAsia" w:ascii="Times New Roman" w:hAnsi="Times New Roman" w:cs="Times New Roman"/>
          <w:szCs w:val="32"/>
          <w:lang w:val="en-US" w:eastAsia="zh-CN"/>
        </w:rPr>
        <w:t>开信息内容</w:t>
      </w:r>
      <w:r>
        <w:rPr>
          <w:rFonts w:hint="default" w:ascii="Times New Roman" w:hAnsi="Times New Roman" w:cs="Times New Roman"/>
          <w:szCs w:val="32"/>
          <w:lang w:val="en-US" w:eastAsia="zh-CN"/>
        </w:rPr>
        <w:t>。</w:t>
      </w:r>
      <w:r>
        <w:rPr>
          <w:rFonts w:hint="default" w:ascii="Times New Roman" w:hAnsi="Times New Roman" w:cs="Times New Roman"/>
          <w:b/>
          <w:bCs/>
          <w:szCs w:val="32"/>
          <w:lang w:val="en-US" w:eastAsia="zh-CN"/>
        </w:rPr>
        <w:t>二是</w:t>
      </w:r>
      <w:r>
        <w:rPr>
          <w:rFonts w:hint="default" w:ascii="Times New Roman" w:hAnsi="Times New Roman" w:cs="Times New Roman"/>
          <w:szCs w:val="32"/>
          <w:lang w:val="en-US" w:eastAsia="zh-CN"/>
        </w:rPr>
        <w:t>严格按照时间</w:t>
      </w:r>
      <w:r>
        <w:rPr>
          <w:rFonts w:hint="eastAsia" w:ascii="Times New Roman" w:hAnsi="Times New Roman" w:cs="Times New Roman"/>
          <w:szCs w:val="32"/>
          <w:lang w:val="en-US" w:eastAsia="zh-CN"/>
        </w:rPr>
        <w:t>点</w:t>
      </w:r>
      <w:r>
        <w:rPr>
          <w:rFonts w:hint="default" w:ascii="Times New Roman" w:hAnsi="Times New Roman" w:cs="Times New Roman"/>
          <w:szCs w:val="32"/>
          <w:lang w:val="en-US" w:eastAsia="zh-CN"/>
        </w:rPr>
        <w:t>，通过政务公开平台进行</w:t>
      </w:r>
      <w:r>
        <w:rPr>
          <w:rFonts w:hint="eastAsia" w:ascii="Times New Roman" w:hAnsi="Times New Roman" w:cs="Times New Roman"/>
          <w:szCs w:val="32"/>
          <w:lang w:val="en-US" w:eastAsia="zh-CN"/>
        </w:rPr>
        <w:t>依法公开、</w:t>
      </w:r>
      <w:r>
        <w:rPr>
          <w:rFonts w:hint="default" w:ascii="Times New Roman" w:hAnsi="Times New Roman" w:cs="Times New Roman"/>
          <w:szCs w:val="32"/>
          <w:lang w:val="en-US" w:eastAsia="zh-CN"/>
        </w:rPr>
        <w:t>数据</w:t>
      </w:r>
      <w:r>
        <w:rPr>
          <w:rFonts w:hint="eastAsia" w:ascii="Times New Roman" w:hAnsi="Times New Roman" w:cs="Times New Roman"/>
          <w:szCs w:val="32"/>
          <w:lang w:val="en-US" w:eastAsia="zh-CN"/>
        </w:rPr>
        <w:t>填报、预决算公开</w:t>
      </w:r>
      <w:r>
        <w:rPr>
          <w:rFonts w:hint="default" w:ascii="Times New Roman" w:hAnsi="Times New Roman" w:cs="Times New Roman"/>
          <w:szCs w:val="32"/>
          <w:lang w:val="en-US" w:eastAsia="zh-CN"/>
        </w:rPr>
        <w:t>等工作，进一步提升信息公开工作实效</w:t>
      </w:r>
      <w:r>
        <w:rPr>
          <w:rFonts w:hint="eastAsia" w:ascii="Times New Roman" w:hAnsi="Times New Roman" w:cs="Times New Roman"/>
          <w:szCs w:val="32"/>
          <w:lang w:val="en-US" w:eastAsia="zh-CN"/>
        </w:rPr>
        <w:t>性</w:t>
      </w:r>
      <w:r>
        <w:rPr>
          <w:rFonts w:hint="default" w:ascii="Times New Roman" w:hAnsi="Times New Roman" w:cs="Times New Roman"/>
          <w:szCs w:val="32"/>
          <w:lang w:val="en-US" w:eastAsia="zh-CN"/>
        </w:rPr>
        <w:t>。</w:t>
      </w:r>
      <w:r>
        <w:rPr>
          <w:rFonts w:hint="eastAsia" w:ascii="Times New Roman" w:hAnsi="Times New Roman" w:cs="Times New Roman"/>
          <w:b/>
          <w:bCs/>
          <w:szCs w:val="32"/>
          <w:lang w:val="en-US" w:eastAsia="zh-CN"/>
        </w:rPr>
        <w:t>三是</w:t>
      </w:r>
      <w:r>
        <w:rPr>
          <w:rFonts w:hint="eastAsia" w:ascii="Times New Roman" w:hAnsi="Times New Roman" w:cs="Times New Roman"/>
          <w:szCs w:val="32"/>
          <w:lang w:val="en-US" w:eastAsia="zh-CN"/>
        </w:rPr>
        <w:t>全面协同推进政务公开标准化和规范化建设，进一步理顺政务公开，结合区总工会重点工作、通知、财务预决算等编制信息，不断优化信息公开管理。</w:t>
      </w:r>
    </w:p>
    <w:p>
      <w:pPr>
        <w:pStyle w:val="6"/>
        <w:keepNext w:val="0"/>
        <w:keepLines w:val="0"/>
        <w:pageBreakBefore w:val="0"/>
        <w:widowControl/>
        <w:kinsoku/>
        <w:wordWrap/>
        <w:overflowPunct/>
        <w:topLinePunct w:val="0"/>
        <w:autoSpaceDN/>
        <w:bidi w:val="0"/>
        <w:adjustRightInd/>
        <w:snapToGrid/>
        <w:spacing w:before="0" w:beforeAutospacing="0" w:after="0" w:afterAutospacing="0" w:line="560" w:lineRule="exact"/>
        <w:ind w:firstLine="643" w:firstLineChars="200"/>
        <w:jc w:val="both"/>
        <w:textAlignment w:val="auto"/>
        <w:rPr>
          <w:rFonts w:hint="eastAsia" w:ascii="楷体_GB2312" w:hAnsi="楷体_GB2312" w:eastAsia="楷体_GB2312" w:cs="楷体_GB2312"/>
          <w:b/>
          <w:bCs/>
          <w:szCs w:val="32"/>
          <w:lang w:val="en-US" w:eastAsia="zh-CN"/>
        </w:rPr>
      </w:pPr>
      <w:r>
        <w:rPr>
          <w:rFonts w:hint="eastAsia" w:ascii="楷体_GB2312" w:hAnsi="楷体_GB2312" w:eastAsia="楷体_GB2312" w:cs="楷体_GB2312"/>
          <w:b/>
          <w:bCs/>
          <w:szCs w:val="32"/>
          <w:lang w:val="en-US" w:eastAsia="zh-CN"/>
        </w:rPr>
        <w:t>（四）政府信息公开平台建设情况</w:t>
      </w:r>
    </w:p>
    <w:p>
      <w:pPr>
        <w:pStyle w:val="6"/>
        <w:keepNext w:val="0"/>
        <w:keepLines w:val="0"/>
        <w:pageBreakBefore w:val="0"/>
        <w:widowControl/>
        <w:kinsoku/>
        <w:wordWrap/>
        <w:overflowPunct/>
        <w:topLinePunct w:val="0"/>
        <w:autoSpaceDN/>
        <w:bidi w:val="0"/>
        <w:adjustRightInd/>
        <w:snapToGrid/>
        <w:spacing w:before="0" w:beforeAutospacing="0" w:after="0" w:afterAutospacing="0" w:line="520" w:lineRule="exact"/>
        <w:ind w:firstLine="640" w:firstLineChars="200"/>
        <w:jc w:val="both"/>
        <w:textAlignment w:val="auto"/>
        <w:rPr>
          <w:rFonts w:hint="eastAsia" w:ascii="楷体_GB2312" w:hAnsi="楷体_GB2312" w:eastAsia="楷体_GB2312" w:cs="楷体_GB2312"/>
          <w:b/>
          <w:bCs/>
          <w:szCs w:val="32"/>
          <w:lang w:val="en-US" w:eastAsia="zh-CN"/>
        </w:rPr>
      </w:pPr>
      <w:r>
        <w:rPr>
          <w:rFonts w:hint="eastAsia" w:ascii="Times New Roman" w:hAnsi="Times New Roman" w:cs="Times New Roman"/>
          <w:szCs w:val="32"/>
          <w:lang w:val="en-US" w:eastAsia="zh-CN"/>
        </w:rPr>
        <w:t>定期完成</w:t>
      </w:r>
      <w:r>
        <w:rPr>
          <w:rFonts w:hint="default" w:ascii="Times New Roman" w:hAnsi="Times New Roman" w:cs="Times New Roman"/>
          <w:szCs w:val="32"/>
          <w:lang w:val="en-US" w:eastAsia="zh-CN"/>
        </w:rPr>
        <w:t>政策解读、政务服务</w:t>
      </w:r>
      <w:r>
        <w:rPr>
          <w:rFonts w:hint="eastAsia" w:ascii="Times New Roman" w:hAnsi="Times New Roman" w:cs="Times New Roman"/>
          <w:szCs w:val="32"/>
          <w:lang w:val="en-US" w:eastAsia="zh-CN"/>
        </w:rPr>
        <w:t>平台</w:t>
      </w:r>
      <w:r>
        <w:rPr>
          <w:rFonts w:hint="default" w:ascii="Times New Roman" w:hAnsi="Times New Roman" w:cs="Times New Roman"/>
          <w:szCs w:val="32"/>
          <w:lang w:val="en-US" w:eastAsia="zh-CN"/>
        </w:rPr>
        <w:t>、</w:t>
      </w:r>
      <w:r>
        <w:rPr>
          <w:rFonts w:hint="eastAsia" w:ascii="Times New Roman" w:hAnsi="Times New Roman" w:cs="Times New Roman"/>
          <w:szCs w:val="32"/>
          <w:lang w:val="en-US" w:eastAsia="zh-CN"/>
        </w:rPr>
        <w:t>最多跑一次</w:t>
      </w:r>
      <w:r>
        <w:rPr>
          <w:rFonts w:hint="default" w:ascii="Times New Roman" w:hAnsi="Times New Roman" w:cs="Times New Roman"/>
          <w:szCs w:val="32"/>
          <w:lang w:val="en-US" w:eastAsia="zh-CN"/>
        </w:rPr>
        <w:t>等任务。通过</w:t>
      </w:r>
      <w:r>
        <w:rPr>
          <w:rFonts w:hint="eastAsia" w:ascii="Times New Roman" w:hAnsi="Times New Roman" w:cs="Times New Roman"/>
          <w:szCs w:val="32"/>
          <w:lang w:val="en-US" w:eastAsia="zh-CN"/>
        </w:rPr>
        <w:t>浙江政务服务网、浙里访、网络问政处理职工问题，发布受理工作流程等信息，</w:t>
      </w:r>
      <w:r>
        <w:rPr>
          <w:rFonts w:hint="default" w:ascii="Times New Roman" w:hAnsi="Times New Roman" w:cs="Times New Roman"/>
          <w:szCs w:val="32"/>
          <w:lang w:val="en-US" w:eastAsia="zh-CN"/>
        </w:rPr>
        <w:t>拓宽政务服务办事渠道。</w:t>
      </w:r>
    </w:p>
    <w:p>
      <w:pPr>
        <w:pStyle w:val="6"/>
        <w:keepNext w:val="0"/>
        <w:keepLines w:val="0"/>
        <w:pageBreakBefore w:val="0"/>
        <w:widowControl/>
        <w:kinsoku/>
        <w:wordWrap/>
        <w:overflowPunct/>
        <w:topLinePunct w:val="0"/>
        <w:autoSpaceDN/>
        <w:bidi w:val="0"/>
        <w:adjustRightInd/>
        <w:snapToGrid/>
        <w:spacing w:before="0" w:beforeAutospacing="0" w:after="0" w:afterAutospacing="0" w:line="560" w:lineRule="exact"/>
        <w:ind w:firstLine="643" w:firstLineChars="200"/>
        <w:jc w:val="both"/>
        <w:textAlignment w:val="auto"/>
        <w:rPr>
          <w:rFonts w:hint="eastAsia" w:ascii="楷体_GB2312" w:hAnsi="楷体_GB2312" w:eastAsia="楷体_GB2312" w:cs="楷体_GB2312"/>
          <w:b/>
          <w:bCs/>
          <w:szCs w:val="32"/>
          <w:lang w:val="en-US" w:eastAsia="zh-CN"/>
        </w:rPr>
      </w:pPr>
      <w:r>
        <w:rPr>
          <w:rFonts w:hint="eastAsia" w:ascii="楷体_GB2312" w:hAnsi="楷体_GB2312" w:eastAsia="楷体_GB2312" w:cs="楷体_GB2312"/>
          <w:b/>
          <w:bCs/>
          <w:szCs w:val="32"/>
          <w:lang w:val="en-US" w:eastAsia="zh-CN"/>
        </w:rPr>
        <w:t>（五）监督保障方面</w:t>
      </w:r>
    </w:p>
    <w:p>
      <w:pPr>
        <w:pStyle w:val="6"/>
        <w:keepNext w:val="0"/>
        <w:keepLines w:val="0"/>
        <w:pageBreakBefore w:val="0"/>
        <w:widowControl/>
        <w:kinsoku/>
        <w:wordWrap/>
        <w:overflowPunct/>
        <w:topLinePunct w:val="0"/>
        <w:autoSpaceDN/>
        <w:bidi w:val="0"/>
        <w:adjustRightInd/>
        <w:snapToGrid/>
        <w:spacing w:before="0" w:beforeAutospacing="0" w:after="0" w:afterAutospacing="0" w:line="520" w:lineRule="exact"/>
        <w:ind w:firstLine="640" w:firstLineChars="200"/>
        <w:jc w:val="both"/>
        <w:textAlignment w:val="auto"/>
        <w:rPr>
          <w:rFonts w:hint="eastAsia" w:ascii="仿宋_GB2312" w:hAnsi="仿宋_GB2312" w:eastAsia="仿宋_GB2312" w:cs="仿宋_GB2312"/>
          <w:szCs w:val="32"/>
          <w:lang w:eastAsia="zh-CN"/>
        </w:rPr>
      </w:pPr>
      <w:r>
        <w:rPr>
          <w:rFonts w:hint="eastAsia" w:ascii="Times New Roman" w:hAnsi="Times New Roman" w:cs="Times New Roman"/>
          <w:szCs w:val="32"/>
          <w:lang w:val="en-US" w:eastAsia="zh-CN"/>
        </w:rPr>
        <w:t>根据《中华人民共和国政府信息公开条例》、《浙江省政府信息公开暂行办法》和《</w:t>
      </w:r>
      <w:r>
        <w:rPr>
          <w:rFonts w:hint="default" w:ascii="Times New Roman" w:hAnsi="Times New Roman" w:cs="Times New Roman"/>
          <w:szCs w:val="32"/>
          <w:lang w:val="en-US" w:eastAsia="zh-CN"/>
        </w:rPr>
        <w:t>浙江省政府信息公开实施细则</w:t>
      </w:r>
      <w:r>
        <w:rPr>
          <w:rFonts w:hint="eastAsia" w:ascii="Times New Roman" w:hAnsi="Times New Roman" w:cs="Times New Roman"/>
          <w:szCs w:val="32"/>
          <w:lang w:val="en-US" w:eastAsia="zh-CN"/>
        </w:rPr>
        <w:t>》精神，区总工会结合工作实际，</w:t>
      </w:r>
      <w:r>
        <w:rPr>
          <w:rFonts w:hint="default" w:ascii="Times New Roman" w:hAnsi="Times New Roman" w:cs="Times New Roman"/>
          <w:szCs w:val="32"/>
          <w:lang w:val="en-US" w:eastAsia="zh-CN"/>
        </w:rPr>
        <w:t>将政务公开</w:t>
      </w:r>
      <w:r>
        <w:rPr>
          <w:rFonts w:hint="eastAsia" w:ascii="Times New Roman" w:hAnsi="Times New Roman" w:cs="Times New Roman"/>
          <w:szCs w:val="32"/>
          <w:lang w:val="en-US" w:eastAsia="zh-CN"/>
        </w:rPr>
        <w:t>信息的</w:t>
      </w:r>
      <w:r>
        <w:rPr>
          <w:rFonts w:hint="default" w:ascii="Times New Roman" w:hAnsi="Times New Roman" w:cs="Times New Roman"/>
          <w:szCs w:val="32"/>
          <w:lang w:val="en-US" w:eastAsia="zh-CN"/>
        </w:rPr>
        <w:t>工作</w:t>
      </w:r>
      <w:r>
        <w:rPr>
          <w:rFonts w:hint="eastAsia" w:ascii="Times New Roman" w:hAnsi="Times New Roman" w:cs="Times New Roman"/>
          <w:szCs w:val="32"/>
          <w:lang w:val="en-US" w:eastAsia="zh-CN"/>
        </w:rPr>
        <w:t>做为本</w:t>
      </w:r>
      <w:r>
        <w:rPr>
          <w:rFonts w:hint="default" w:ascii="Times New Roman" w:hAnsi="Times New Roman" w:cs="Times New Roman"/>
          <w:szCs w:val="32"/>
          <w:lang w:val="en-US" w:eastAsia="zh-CN"/>
        </w:rPr>
        <w:t>年度</w:t>
      </w:r>
      <w:r>
        <w:rPr>
          <w:rFonts w:hint="eastAsia" w:ascii="Times New Roman" w:hAnsi="Times New Roman" w:cs="Times New Roman"/>
          <w:szCs w:val="32"/>
          <w:lang w:val="en-US" w:eastAsia="zh-CN"/>
        </w:rPr>
        <w:t>的</w:t>
      </w:r>
      <w:r>
        <w:rPr>
          <w:rFonts w:hint="default" w:ascii="Times New Roman" w:hAnsi="Times New Roman" w:cs="Times New Roman"/>
          <w:szCs w:val="32"/>
          <w:lang w:val="en-US" w:eastAsia="zh-CN"/>
        </w:rPr>
        <w:t>工作要点，</w:t>
      </w:r>
      <w:r>
        <w:rPr>
          <w:rFonts w:hint="eastAsia" w:ascii="Times New Roman" w:hAnsi="Times New Roman" w:cs="Times New Roman"/>
          <w:szCs w:val="32"/>
          <w:lang w:val="en-US" w:eastAsia="zh-CN"/>
        </w:rPr>
        <w:t>要求各科室认真对待问题导向</w:t>
      </w:r>
      <w:r>
        <w:rPr>
          <w:rFonts w:hint="default" w:ascii="Times New Roman" w:hAnsi="Times New Roman" w:cs="Times New Roman"/>
          <w:szCs w:val="32"/>
          <w:lang w:val="en-US" w:eastAsia="zh-CN"/>
        </w:rPr>
        <w:t>，</w:t>
      </w:r>
      <w:r>
        <w:rPr>
          <w:rFonts w:hint="eastAsia" w:ascii="Times New Roman" w:hAnsi="Times New Roman" w:cs="Times New Roman"/>
          <w:szCs w:val="32"/>
          <w:lang w:val="en-US" w:eastAsia="zh-CN"/>
        </w:rPr>
        <w:t>及时回复，</w:t>
      </w:r>
      <w:r>
        <w:rPr>
          <w:rFonts w:hint="default" w:ascii="Times New Roman" w:hAnsi="Times New Roman" w:cs="Times New Roman"/>
          <w:szCs w:val="32"/>
          <w:lang w:val="en-US" w:eastAsia="zh-CN"/>
        </w:rPr>
        <w:t>在规定时限内提供、审核、发布各类信息</w:t>
      </w:r>
      <w:r>
        <w:rPr>
          <w:rFonts w:hint="eastAsia" w:ascii="Times New Roman" w:hAnsi="Times New Roman" w:cs="Times New Roman"/>
          <w:szCs w:val="32"/>
          <w:lang w:val="en-US" w:eastAsia="zh-CN"/>
        </w:rPr>
        <w:t>和处理问题</w:t>
      </w:r>
      <w:r>
        <w:rPr>
          <w:rFonts w:hint="default" w:ascii="Times New Roman" w:hAnsi="Times New Roman" w:cs="Times New Roman"/>
          <w:szCs w:val="32"/>
          <w:lang w:val="en-US" w:eastAsia="zh-CN"/>
        </w:rPr>
        <w:t>。</w:t>
      </w:r>
      <w:r>
        <w:rPr>
          <w:rFonts w:hint="eastAsia" w:ascii="Times New Roman" w:hAnsi="Times New Roman" w:cs="Times New Roman"/>
          <w:szCs w:val="32"/>
          <w:lang w:val="en-US" w:eastAsia="zh-CN"/>
        </w:rPr>
        <w:t>本单位将区总工会</w:t>
      </w:r>
      <w:r>
        <w:rPr>
          <w:rFonts w:hint="default" w:ascii="Times New Roman" w:hAnsi="Times New Roman" w:cs="Times New Roman"/>
          <w:szCs w:val="32"/>
          <w:lang w:val="en-US" w:eastAsia="zh-CN"/>
        </w:rPr>
        <w:t>办公室</w:t>
      </w:r>
      <w:r>
        <w:rPr>
          <w:rFonts w:hint="eastAsia" w:ascii="Times New Roman" w:hAnsi="Times New Roman" w:cs="Times New Roman"/>
          <w:szCs w:val="32"/>
          <w:lang w:val="en-US" w:eastAsia="zh-CN"/>
        </w:rPr>
        <w:t>设为监督职能部门，</w:t>
      </w:r>
      <w:r>
        <w:rPr>
          <w:rFonts w:hint="default" w:ascii="Times New Roman" w:hAnsi="Times New Roman" w:cs="Times New Roman"/>
          <w:szCs w:val="32"/>
          <w:lang w:val="en-US" w:eastAsia="zh-CN"/>
        </w:rPr>
        <w:t>不定期对政务公开工作开展督查，确保公开事项落实到位。</w:t>
      </w:r>
    </w:p>
    <w:p>
      <w:pPr>
        <w:pStyle w:val="6"/>
        <w:widowControl/>
        <w:spacing w:before="0" w:beforeAutospacing="0" w:after="0" w:afterAutospacing="0" w:line="560" w:lineRule="exact"/>
        <w:ind w:firstLine="640" w:firstLineChars="200"/>
        <w:jc w:val="both"/>
        <w:rPr>
          <w:rFonts w:hint="eastAsia" w:ascii="黑体" w:hAnsi="黑体" w:eastAsia="黑体" w:cs="Times New Roman"/>
          <w:szCs w:val="32"/>
        </w:rPr>
      </w:pPr>
      <w:r>
        <w:rPr>
          <w:rFonts w:hint="eastAsia" w:ascii="黑体" w:hAnsi="黑体" w:eastAsia="黑体" w:cs="Times New Roman"/>
          <w:szCs w:val="32"/>
        </w:rPr>
        <w:t>二、主动公开政府信息情况</w:t>
      </w:r>
    </w:p>
    <w:tbl>
      <w:tblPr>
        <w:tblStyle w:val="7"/>
        <w:tblpPr w:leftFromText="180" w:rightFromText="180" w:vertAnchor="text" w:horzAnchor="page" w:tblpXSpec="center" w:tblpY="85"/>
        <w:tblOverlap w:val="never"/>
        <w:tblW w:w="9221" w:type="dxa"/>
        <w:tblInd w:w="0" w:type="dxa"/>
        <w:tblLayout w:type="fixed"/>
        <w:tblCellMar>
          <w:top w:w="0" w:type="dxa"/>
          <w:left w:w="0" w:type="dxa"/>
          <w:bottom w:w="0" w:type="dxa"/>
          <w:right w:w="0" w:type="dxa"/>
        </w:tblCellMar>
      </w:tblPr>
      <w:tblGrid>
        <w:gridCol w:w="1953"/>
        <w:gridCol w:w="2435"/>
        <w:gridCol w:w="2435"/>
        <w:gridCol w:w="2398"/>
      </w:tblGrid>
      <w:tr>
        <w:tblPrEx>
          <w:tblLayout w:type="fixed"/>
          <w:tblCellMar>
            <w:top w:w="0" w:type="dxa"/>
            <w:left w:w="0" w:type="dxa"/>
            <w:bottom w:w="0" w:type="dxa"/>
            <w:right w:w="0" w:type="dxa"/>
          </w:tblCellMar>
        </w:tblPrEx>
        <w:trPr>
          <w:trHeight w:val="340" w:hRule="atLeast"/>
        </w:trPr>
        <w:tc>
          <w:tcPr>
            <w:tcW w:w="9221"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spacing w:line="300" w:lineRule="exact"/>
              <w:jc w:val="center"/>
              <w:rPr>
                <w:kern w:val="0"/>
                <w:sz w:val="21"/>
                <w:szCs w:val="21"/>
              </w:rPr>
            </w:pPr>
            <w:r>
              <w:rPr>
                <w:rFonts w:hint="eastAsia"/>
                <w:kern w:val="0"/>
                <w:sz w:val="21"/>
                <w:szCs w:val="21"/>
              </w:rPr>
              <w:t>第二十条第（一）项</w:t>
            </w:r>
          </w:p>
        </w:tc>
      </w:tr>
      <w:tr>
        <w:tblPrEx>
          <w:tblLayout w:type="fixed"/>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本年制发件数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本年废止件数</w:t>
            </w:r>
          </w:p>
        </w:tc>
        <w:tc>
          <w:tcPr>
            <w:tcW w:w="2398" w:type="dxa"/>
            <w:tcBorders>
              <w:top w:val="single" w:color="auto" w:sz="8" w:space="0"/>
              <w:left w:val="nil"/>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现行有效件数</w:t>
            </w:r>
          </w:p>
        </w:tc>
      </w:tr>
      <w:tr>
        <w:tblPrEx>
          <w:tblLayout w:type="fixed"/>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　</w:t>
            </w:r>
            <w:r>
              <w:rPr>
                <w:rFonts w:hint="eastAsia"/>
                <w:kern w:val="0"/>
                <w:sz w:val="21"/>
                <w:szCs w:val="21"/>
                <w:lang w:val="en-US" w:eastAsia="zh-CN"/>
              </w:rPr>
              <w:t>0</w:t>
            </w:r>
            <w:r>
              <w:rPr>
                <w:rFonts w:hint="eastAsia"/>
                <w:kern w:val="0"/>
                <w:sz w:val="21"/>
                <w:szCs w:val="21"/>
              </w:rPr>
              <w:t>　</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 </w:t>
            </w:r>
            <w:r>
              <w:rPr>
                <w:rFonts w:hint="eastAsia"/>
                <w:kern w:val="0"/>
                <w:sz w:val="21"/>
                <w:szCs w:val="21"/>
                <w:lang w:val="en-US" w:eastAsia="zh-CN"/>
              </w:rPr>
              <w:t>0</w:t>
            </w:r>
            <w:r>
              <w:rPr>
                <w:rFonts w:hint="eastAsia"/>
                <w:kern w:val="0"/>
                <w:sz w:val="21"/>
                <w:szCs w:val="21"/>
              </w:rPr>
              <w:t>　</w:t>
            </w:r>
          </w:p>
        </w:tc>
        <w:tc>
          <w:tcPr>
            <w:tcW w:w="2398" w:type="dxa"/>
            <w:tcBorders>
              <w:top w:val="nil"/>
              <w:left w:val="nil"/>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lang w:val="en-US" w:eastAsia="zh-CN"/>
              </w:rPr>
              <w:t>0</w:t>
            </w:r>
            <w:r>
              <w:rPr>
                <w:kern w:val="0"/>
                <w:sz w:val="21"/>
                <w:szCs w:val="21"/>
              </w:rPr>
              <w:t> </w:t>
            </w:r>
          </w:p>
        </w:tc>
      </w:tr>
      <w:tr>
        <w:tblPrEx>
          <w:tblLayout w:type="fixed"/>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lang w:val="en-US" w:eastAsia="zh-CN"/>
              </w:rPr>
              <w:t xml:space="preserve">  0</w:t>
            </w:r>
            <w:r>
              <w:rPr>
                <w:rFonts w:hint="eastAsia"/>
                <w:kern w:val="0"/>
                <w:sz w:val="21"/>
                <w:szCs w:val="21"/>
              </w:rPr>
              <w:t>　</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spacing w:line="30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2398" w:type="dxa"/>
            <w:tcBorders>
              <w:top w:val="nil"/>
              <w:left w:val="nil"/>
              <w:bottom w:val="single" w:color="auto" w:sz="8" w:space="0"/>
              <w:right w:val="single" w:color="auto" w:sz="8" w:space="0"/>
            </w:tcBorders>
            <w:noWrap w:val="0"/>
            <w:tcMar>
              <w:left w:w="57" w:type="dxa"/>
              <w:right w:w="57" w:type="dxa"/>
            </w:tcMar>
            <w:vAlign w:val="center"/>
          </w:tcPr>
          <w:p>
            <w:pPr>
              <w:spacing w:line="300" w:lineRule="exact"/>
              <w:jc w:val="center"/>
              <w:rPr>
                <w:rFonts w:hint="default" w:eastAsia="仿宋_GB2312"/>
                <w:kern w:val="0"/>
                <w:sz w:val="21"/>
                <w:szCs w:val="21"/>
                <w:lang w:val="en-US" w:eastAsia="zh-CN"/>
              </w:rPr>
            </w:pPr>
            <w:r>
              <w:rPr>
                <w:rFonts w:hint="eastAsia"/>
                <w:kern w:val="0"/>
                <w:sz w:val="21"/>
                <w:szCs w:val="21"/>
                <w:lang w:val="en-US" w:eastAsia="zh-CN"/>
              </w:rPr>
              <w:t>0</w:t>
            </w:r>
          </w:p>
        </w:tc>
      </w:tr>
      <w:tr>
        <w:tblPrEx>
          <w:tblLayout w:type="fixed"/>
          <w:tblCellMar>
            <w:top w:w="0" w:type="dxa"/>
            <w:left w:w="0" w:type="dxa"/>
            <w:bottom w:w="0" w:type="dxa"/>
            <w:right w:w="0" w:type="dxa"/>
          </w:tblCellMar>
        </w:tblPrEx>
        <w:trPr>
          <w:trHeight w:val="340" w:hRule="atLeast"/>
        </w:trPr>
        <w:tc>
          <w:tcPr>
            <w:tcW w:w="9221"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spacing w:line="300" w:lineRule="exact"/>
              <w:jc w:val="center"/>
              <w:rPr>
                <w:kern w:val="0"/>
                <w:sz w:val="21"/>
                <w:szCs w:val="21"/>
              </w:rPr>
            </w:pPr>
            <w:r>
              <w:rPr>
                <w:rFonts w:hint="eastAsia"/>
                <w:kern w:val="0"/>
                <w:sz w:val="21"/>
                <w:szCs w:val="21"/>
              </w:rPr>
              <w:t>第二十条第（五）项</w:t>
            </w:r>
          </w:p>
        </w:tc>
      </w:tr>
      <w:tr>
        <w:tblPrEx>
          <w:tblLayout w:type="fixed"/>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信息内容</w:t>
            </w:r>
          </w:p>
        </w:tc>
        <w:tc>
          <w:tcPr>
            <w:tcW w:w="7268" w:type="dxa"/>
            <w:gridSpan w:val="3"/>
            <w:tcBorders>
              <w:top w:val="nil"/>
              <w:left w:val="nil"/>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本年处理决定数量</w:t>
            </w:r>
          </w:p>
        </w:tc>
      </w:tr>
      <w:tr>
        <w:tblPrEx>
          <w:tblLayout w:type="fixed"/>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行政许可</w:t>
            </w:r>
          </w:p>
        </w:tc>
        <w:tc>
          <w:tcPr>
            <w:tcW w:w="7268" w:type="dxa"/>
            <w:gridSpan w:val="3"/>
            <w:tcBorders>
              <w:top w:val="nil"/>
              <w:left w:val="nil"/>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lang w:val="en-US" w:eastAsia="zh-CN"/>
              </w:rPr>
              <w:t>0</w:t>
            </w:r>
            <w:r>
              <w:rPr>
                <w:kern w:val="0"/>
                <w:sz w:val="21"/>
                <w:szCs w:val="21"/>
              </w:rPr>
              <w:t> </w:t>
            </w:r>
          </w:p>
        </w:tc>
      </w:tr>
      <w:tr>
        <w:tblPrEx>
          <w:tblLayout w:type="fixed"/>
          <w:tblCellMar>
            <w:top w:w="0" w:type="dxa"/>
            <w:left w:w="0" w:type="dxa"/>
            <w:bottom w:w="0" w:type="dxa"/>
            <w:right w:w="0" w:type="dxa"/>
          </w:tblCellMar>
        </w:tblPrEx>
        <w:trPr>
          <w:trHeight w:val="340" w:hRule="atLeast"/>
        </w:trPr>
        <w:tc>
          <w:tcPr>
            <w:tcW w:w="9221"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spacing w:line="300" w:lineRule="exact"/>
              <w:jc w:val="center"/>
              <w:rPr>
                <w:kern w:val="0"/>
                <w:sz w:val="21"/>
                <w:szCs w:val="21"/>
              </w:rPr>
            </w:pPr>
            <w:r>
              <w:rPr>
                <w:rFonts w:hint="eastAsia"/>
                <w:kern w:val="0"/>
                <w:sz w:val="21"/>
                <w:szCs w:val="21"/>
              </w:rPr>
              <w:t>第二十条第（六）项</w:t>
            </w:r>
          </w:p>
        </w:tc>
      </w:tr>
      <w:tr>
        <w:tblPrEx>
          <w:tblLayout w:type="fixed"/>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信息内容</w:t>
            </w:r>
          </w:p>
        </w:tc>
        <w:tc>
          <w:tcPr>
            <w:tcW w:w="7268"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本年处理决定数量</w:t>
            </w:r>
          </w:p>
        </w:tc>
      </w:tr>
      <w:tr>
        <w:tblPrEx>
          <w:tblLayout w:type="fixed"/>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行政处罚</w:t>
            </w:r>
          </w:p>
        </w:tc>
        <w:tc>
          <w:tcPr>
            <w:tcW w:w="7268" w:type="dxa"/>
            <w:gridSpan w:val="3"/>
            <w:tcBorders>
              <w:top w:val="nil"/>
              <w:left w:val="nil"/>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lang w:val="en-US" w:eastAsia="zh-CN"/>
              </w:rPr>
              <w:t>0</w:t>
            </w:r>
            <w:r>
              <w:rPr>
                <w:rFonts w:hint="eastAsia"/>
                <w:kern w:val="0"/>
                <w:sz w:val="21"/>
                <w:szCs w:val="21"/>
              </w:rPr>
              <w:t>　</w:t>
            </w:r>
          </w:p>
        </w:tc>
      </w:tr>
      <w:tr>
        <w:tblPrEx>
          <w:tblLayout w:type="fixed"/>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行政强制</w:t>
            </w:r>
          </w:p>
        </w:tc>
        <w:tc>
          <w:tcPr>
            <w:tcW w:w="7268" w:type="dxa"/>
            <w:gridSpan w:val="3"/>
            <w:tcBorders>
              <w:top w:val="nil"/>
              <w:left w:val="nil"/>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lang w:val="en-US" w:eastAsia="zh-CN"/>
              </w:rPr>
              <w:t>0</w:t>
            </w:r>
            <w:r>
              <w:rPr>
                <w:rFonts w:hint="eastAsia"/>
                <w:kern w:val="0"/>
                <w:sz w:val="21"/>
                <w:szCs w:val="21"/>
              </w:rPr>
              <w:t>　</w:t>
            </w:r>
          </w:p>
        </w:tc>
      </w:tr>
      <w:tr>
        <w:tblPrEx>
          <w:tblLayout w:type="fixed"/>
          <w:tblCellMar>
            <w:top w:w="0" w:type="dxa"/>
            <w:left w:w="0" w:type="dxa"/>
            <w:bottom w:w="0" w:type="dxa"/>
            <w:right w:w="0" w:type="dxa"/>
          </w:tblCellMar>
        </w:tblPrEx>
        <w:trPr>
          <w:trHeight w:val="340" w:hRule="atLeast"/>
        </w:trPr>
        <w:tc>
          <w:tcPr>
            <w:tcW w:w="9221"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spacing w:line="300" w:lineRule="exact"/>
              <w:jc w:val="center"/>
              <w:rPr>
                <w:kern w:val="0"/>
                <w:sz w:val="21"/>
                <w:szCs w:val="21"/>
              </w:rPr>
            </w:pPr>
            <w:r>
              <w:rPr>
                <w:rFonts w:hint="eastAsia"/>
                <w:kern w:val="0"/>
                <w:sz w:val="21"/>
                <w:szCs w:val="21"/>
              </w:rPr>
              <w:t>第二十条第（八）项</w:t>
            </w:r>
          </w:p>
        </w:tc>
      </w:tr>
      <w:tr>
        <w:tblPrEx>
          <w:tblLayout w:type="fixed"/>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信息内容</w:t>
            </w:r>
          </w:p>
        </w:tc>
        <w:tc>
          <w:tcPr>
            <w:tcW w:w="7268" w:type="dxa"/>
            <w:gridSpan w:val="3"/>
            <w:tcBorders>
              <w:top w:val="nil"/>
              <w:left w:val="nil"/>
              <w:bottom w:val="single" w:color="auto" w:sz="8" w:space="0"/>
              <w:right w:val="single" w:color="000000"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本年收费金额（单位：万元）</w:t>
            </w:r>
          </w:p>
        </w:tc>
      </w:tr>
      <w:tr>
        <w:tblPrEx>
          <w:tblLayout w:type="fixed"/>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行政事业性收费</w:t>
            </w:r>
          </w:p>
        </w:tc>
        <w:tc>
          <w:tcPr>
            <w:tcW w:w="7268" w:type="dxa"/>
            <w:gridSpan w:val="3"/>
            <w:tcBorders>
              <w:top w:val="nil"/>
              <w:left w:val="nil"/>
              <w:bottom w:val="single" w:color="auto" w:sz="8" w:space="0"/>
              <w:right w:val="single" w:color="000000" w:sz="8" w:space="0"/>
            </w:tcBorders>
            <w:noWrap w:val="0"/>
            <w:tcMar>
              <w:left w:w="57" w:type="dxa"/>
              <w:right w:w="57" w:type="dxa"/>
            </w:tcMar>
            <w:vAlign w:val="center"/>
          </w:tcPr>
          <w:p>
            <w:pPr>
              <w:spacing w:line="300" w:lineRule="exact"/>
              <w:jc w:val="center"/>
              <w:rPr>
                <w:rFonts w:hint="eastAsia" w:eastAsia="仿宋_GB2312"/>
                <w:kern w:val="0"/>
                <w:sz w:val="21"/>
                <w:szCs w:val="21"/>
                <w:lang w:val="en-US" w:eastAsia="zh-CN"/>
              </w:rPr>
            </w:pPr>
            <w:r>
              <w:rPr>
                <w:rFonts w:hint="eastAsia"/>
                <w:kern w:val="0"/>
                <w:sz w:val="21"/>
                <w:szCs w:val="21"/>
                <w:lang w:val="en-US" w:eastAsia="zh-CN"/>
              </w:rPr>
              <w:t>0</w:t>
            </w:r>
          </w:p>
        </w:tc>
      </w:tr>
    </w:tbl>
    <w:p>
      <w:pPr>
        <w:pStyle w:val="6"/>
        <w:widowControl/>
        <w:spacing w:before="0" w:beforeAutospacing="0" w:after="0" w:afterAutospacing="0" w:line="560" w:lineRule="exact"/>
        <w:ind w:firstLine="640" w:firstLineChars="200"/>
        <w:jc w:val="both"/>
        <w:rPr>
          <w:rFonts w:hint="eastAsia" w:ascii="黑体" w:hAnsi="黑体" w:eastAsia="黑体" w:cs="Times New Roman"/>
          <w:szCs w:val="32"/>
        </w:rPr>
      </w:pPr>
      <w:r>
        <w:rPr>
          <w:rFonts w:hint="eastAsia" w:ascii="黑体" w:hAnsi="黑体" w:eastAsia="黑体" w:cs="Times New Roman"/>
          <w:szCs w:val="32"/>
        </w:rPr>
        <w:t>三、收到和处理政府信息公开申请情况</w:t>
      </w:r>
    </w:p>
    <w:tbl>
      <w:tblPr>
        <w:tblStyle w:val="7"/>
        <w:tblpPr w:leftFromText="180" w:rightFromText="180" w:vertAnchor="text" w:horzAnchor="page" w:tblpX="1548" w:tblpY="608"/>
        <w:tblOverlap w:val="never"/>
        <w:tblW w:w="9287"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85"/>
        <w:gridCol w:w="959"/>
        <w:gridCol w:w="2630"/>
        <w:gridCol w:w="642"/>
        <w:gridCol w:w="714"/>
        <w:gridCol w:w="714"/>
        <w:gridCol w:w="714"/>
        <w:gridCol w:w="714"/>
        <w:gridCol w:w="714"/>
        <w:gridCol w:w="70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4374" w:type="dxa"/>
            <w:gridSpan w:val="3"/>
            <w:vMerge w:val="restart"/>
            <w:noWrap w:val="0"/>
            <w:tcMar>
              <w:left w:w="108" w:type="dxa"/>
              <w:right w:w="108" w:type="dxa"/>
            </w:tcMar>
            <w:vAlign w:val="center"/>
          </w:tcPr>
          <w:p>
            <w:pPr>
              <w:spacing w:line="240" w:lineRule="exact"/>
              <w:jc w:val="center"/>
              <w:rPr>
                <w:kern w:val="0"/>
                <w:sz w:val="21"/>
                <w:szCs w:val="21"/>
              </w:rPr>
            </w:pPr>
            <w:bookmarkStart w:id="0" w:name="_GoBack"/>
            <w:bookmarkEnd w:id="0"/>
            <w:r>
              <w:rPr>
                <w:kern w:val="0"/>
                <w:sz w:val="21"/>
                <w:szCs w:val="21"/>
              </w:rPr>
              <w:t>（本列数据的勾稽关系为：第一项加第二项之和，等于第三项加第四项之和）</w:t>
            </w:r>
          </w:p>
        </w:tc>
        <w:tc>
          <w:tcPr>
            <w:tcW w:w="4913" w:type="dxa"/>
            <w:gridSpan w:val="7"/>
            <w:noWrap w:val="0"/>
            <w:tcMar>
              <w:left w:w="57" w:type="dxa"/>
              <w:right w:w="57" w:type="dxa"/>
            </w:tcMar>
            <w:vAlign w:val="center"/>
          </w:tcPr>
          <w:p>
            <w:pPr>
              <w:spacing w:line="240" w:lineRule="exact"/>
              <w:jc w:val="center"/>
              <w:rPr>
                <w:kern w:val="0"/>
                <w:sz w:val="21"/>
                <w:szCs w:val="21"/>
              </w:rPr>
            </w:pPr>
            <w:r>
              <w:rPr>
                <w:rFonts w:hint="eastAsia"/>
                <w:kern w:val="0"/>
                <w:sz w:val="21"/>
                <w:szCs w:val="21"/>
              </w:rPr>
              <w:t>申请人情况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4374" w:type="dxa"/>
            <w:gridSpan w:val="3"/>
            <w:vMerge w:val="continue"/>
            <w:noWrap w:val="0"/>
            <w:tcMar>
              <w:left w:w="108" w:type="dxa"/>
              <w:right w:w="108" w:type="dxa"/>
            </w:tcMar>
            <w:vAlign w:val="center"/>
          </w:tcPr>
          <w:p>
            <w:pPr>
              <w:spacing w:line="240" w:lineRule="exact"/>
              <w:jc w:val="center"/>
              <w:rPr>
                <w:rFonts w:hint="eastAsia"/>
                <w:kern w:val="0"/>
                <w:sz w:val="21"/>
                <w:szCs w:val="21"/>
              </w:rPr>
            </w:pPr>
          </w:p>
        </w:tc>
        <w:tc>
          <w:tcPr>
            <w:tcW w:w="642" w:type="dxa"/>
            <w:vMerge w:val="restart"/>
            <w:noWrap w:val="0"/>
            <w:tcMar>
              <w:left w:w="57" w:type="dxa"/>
              <w:right w:w="57" w:type="dxa"/>
            </w:tcMar>
            <w:vAlign w:val="center"/>
          </w:tcPr>
          <w:p>
            <w:pPr>
              <w:spacing w:line="240" w:lineRule="exact"/>
              <w:jc w:val="center"/>
              <w:rPr>
                <w:kern w:val="0"/>
                <w:sz w:val="21"/>
                <w:szCs w:val="21"/>
              </w:rPr>
            </w:pPr>
            <w:r>
              <w:rPr>
                <w:rFonts w:hint="eastAsia"/>
                <w:kern w:val="0"/>
                <w:sz w:val="21"/>
                <w:szCs w:val="21"/>
              </w:rPr>
              <w:t>自然人</w:t>
            </w:r>
          </w:p>
        </w:tc>
        <w:tc>
          <w:tcPr>
            <w:tcW w:w="3570" w:type="dxa"/>
            <w:gridSpan w:val="5"/>
            <w:noWrap w:val="0"/>
            <w:tcMar>
              <w:left w:w="57" w:type="dxa"/>
              <w:right w:w="57" w:type="dxa"/>
            </w:tcMar>
            <w:vAlign w:val="center"/>
          </w:tcPr>
          <w:p>
            <w:pPr>
              <w:spacing w:line="240" w:lineRule="exact"/>
              <w:jc w:val="center"/>
              <w:rPr>
                <w:kern w:val="0"/>
                <w:sz w:val="21"/>
                <w:szCs w:val="21"/>
              </w:rPr>
            </w:pPr>
            <w:r>
              <w:rPr>
                <w:rFonts w:hint="eastAsia"/>
                <w:kern w:val="0"/>
                <w:sz w:val="21"/>
                <w:szCs w:val="21"/>
              </w:rPr>
              <w:t>法人或其他组织</w:t>
            </w:r>
          </w:p>
        </w:tc>
        <w:tc>
          <w:tcPr>
            <w:tcW w:w="701" w:type="dxa"/>
            <w:vMerge w:val="restart"/>
            <w:noWrap w:val="0"/>
            <w:tcMar>
              <w:left w:w="57" w:type="dxa"/>
              <w:right w:w="57" w:type="dxa"/>
            </w:tcMar>
            <w:vAlign w:val="center"/>
          </w:tcPr>
          <w:p>
            <w:pPr>
              <w:spacing w:line="240" w:lineRule="exact"/>
              <w:jc w:val="center"/>
              <w:rPr>
                <w:kern w:val="0"/>
                <w:sz w:val="21"/>
                <w:szCs w:val="21"/>
              </w:rPr>
            </w:pPr>
            <w:r>
              <w:rPr>
                <w:rFonts w:hint="eastAsia"/>
                <w:kern w:val="0"/>
                <w:sz w:val="21"/>
                <w:szCs w:val="21"/>
              </w:rPr>
              <w:t>总计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4374" w:type="dxa"/>
            <w:gridSpan w:val="3"/>
            <w:vMerge w:val="continue"/>
            <w:noWrap w:val="0"/>
            <w:tcMar>
              <w:left w:w="108" w:type="dxa"/>
              <w:right w:w="108" w:type="dxa"/>
            </w:tcMar>
            <w:vAlign w:val="center"/>
          </w:tcPr>
          <w:p>
            <w:pPr>
              <w:spacing w:line="240" w:lineRule="exact"/>
              <w:jc w:val="center"/>
              <w:rPr>
                <w:rFonts w:hint="eastAsia"/>
                <w:kern w:val="0"/>
                <w:sz w:val="21"/>
                <w:szCs w:val="21"/>
              </w:rPr>
            </w:pPr>
          </w:p>
        </w:tc>
        <w:tc>
          <w:tcPr>
            <w:tcW w:w="642" w:type="dxa"/>
            <w:vMerge w:val="continue"/>
            <w:noWrap w:val="0"/>
            <w:tcMar>
              <w:left w:w="57" w:type="dxa"/>
              <w:right w:w="57" w:type="dxa"/>
            </w:tcMar>
            <w:vAlign w:val="center"/>
          </w:tcPr>
          <w:p>
            <w:pPr>
              <w:spacing w:line="240" w:lineRule="exact"/>
              <w:jc w:val="center"/>
              <w:rPr>
                <w:rFonts w:hint="eastAsia"/>
                <w:kern w:val="0"/>
                <w:sz w:val="21"/>
                <w:szCs w:val="21"/>
              </w:rPr>
            </w:pP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rPr>
              <w:t>商业</w:t>
            </w:r>
          </w:p>
          <w:p>
            <w:pPr>
              <w:spacing w:line="240" w:lineRule="exact"/>
              <w:jc w:val="center"/>
              <w:rPr>
                <w:kern w:val="0"/>
                <w:sz w:val="21"/>
                <w:szCs w:val="21"/>
              </w:rPr>
            </w:pPr>
            <w:r>
              <w:rPr>
                <w:rFonts w:hint="eastAsia"/>
                <w:kern w:val="0"/>
                <w:sz w:val="21"/>
                <w:szCs w:val="21"/>
              </w:rPr>
              <w:t>企业</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rPr>
              <w:t>科研</w:t>
            </w:r>
          </w:p>
          <w:p>
            <w:pPr>
              <w:spacing w:line="240" w:lineRule="exact"/>
              <w:jc w:val="center"/>
              <w:rPr>
                <w:kern w:val="0"/>
                <w:sz w:val="21"/>
                <w:szCs w:val="21"/>
              </w:rPr>
            </w:pPr>
            <w:r>
              <w:rPr>
                <w:rFonts w:hint="eastAsia"/>
                <w:kern w:val="0"/>
                <w:sz w:val="21"/>
                <w:szCs w:val="21"/>
              </w:rPr>
              <w:t>机构</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rPr>
              <w:t>社会公益组织</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rPr>
              <w:t>法律服务机构</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rPr>
              <w:t>其他</w:t>
            </w:r>
          </w:p>
        </w:tc>
        <w:tc>
          <w:tcPr>
            <w:tcW w:w="701" w:type="dxa"/>
            <w:vMerge w:val="continue"/>
            <w:noWrap w:val="0"/>
            <w:tcMar>
              <w:left w:w="57" w:type="dxa"/>
              <w:right w:w="57" w:type="dxa"/>
            </w:tcMar>
            <w:vAlign w:val="center"/>
          </w:tcPr>
          <w:p>
            <w:pPr>
              <w:spacing w:line="240" w:lineRule="exact"/>
              <w:jc w:val="center"/>
              <w:rPr>
                <w:rFonts w:hint="eastAsia"/>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67" w:hRule="exact"/>
        </w:trPr>
        <w:tc>
          <w:tcPr>
            <w:tcW w:w="4374" w:type="dxa"/>
            <w:gridSpan w:val="3"/>
            <w:noWrap w:val="0"/>
            <w:tcMar>
              <w:left w:w="57" w:type="dxa"/>
              <w:right w:w="57" w:type="dxa"/>
            </w:tcMar>
            <w:vAlign w:val="center"/>
          </w:tcPr>
          <w:p>
            <w:pPr>
              <w:spacing w:line="240" w:lineRule="exact"/>
              <w:jc w:val="center"/>
              <w:rPr>
                <w:kern w:val="0"/>
                <w:sz w:val="21"/>
                <w:szCs w:val="21"/>
              </w:rPr>
            </w:pPr>
            <w:r>
              <w:rPr>
                <w:rFonts w:hint="eastAsia"/>
                <w:kern w:val="0"/>
                <w:sz w:val="21"/>
                <w:szCs w:val="21"/>
              </w:rPr>
              <w:t>一、本年新收政府信息公开申请数量</w:t>
            </w:r>
          </w:p>
        </w:tc>
        <w:tc>
          <w:tcPr>
            <w:tcW w:w="642" w:type="dxa"/>
            <w:noWrap w:val="0"/>
            <w:tcMar>
              <w:left w:w="57" w:type="dxa"/>
              <w:right w:w="57" w:type="dxa"/>
            </w:tcMar>
            <w:vAlign w:val="center"/>
          </w:tcPr>
          <w:p>
            <w:pPr>
              <w:spacing w:line="240" w:lineRule="exact"/>
              <w:jc w:val="center"/>
              <w:rPr>
                <w:rFonts w:hint="default"/>
                <w:kern w:val="0"/>
                <w:sz w:val="21"/>
                <w:szCs w:val="21"/>
                <w:lang w:val="en-US"/>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rFonts w:hint="default" w:eastAsia="仿宋_GB2312"/>
                <w:kern w:val="0"/>
                <w:sz w:val="21"/>
                <w:szCs w:val="21"/>
                <w:lang w:val="en-US" w:eastAsia="zh-CN"/>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67" w:hRule="exact"/>
        </w:trPr>
        <w:tc>
          <w:tcPr>
            <w:tcW w:w="4374" w:type="dxa"/>
            <w:gridSpan w:val="3"/>
            <w:noWrap w:val="0"/>
            <w:tcMar>
              <w:left w:w="57" w:type="dxa"/>
              <w:right w:w="57" w:type="dxa"/>
            </w:tcMar>
            <w:vAlign w:val="center"/>
          </w:tcPr>
          <w:p>
            <w:pPr>
              <w:spacing w:line="240" w:lineRule="exact"/>
              <w:jc w:val="center"/>
              <w:rPr>
                <w:kern w:val="0"/>
                <w:sz w:val="21"/>
                <w:szCs w:val="21"/>
              </w:rPr>
            </w:pPr>
            <w:r>
              <w:rPr>
                <w:rFonts w:hint="eastAsia"/>
                <w:kern w:val="0"/>
                <w:sz w:val="21"/>
                <w:szCs w:val="21"/>
              </w:rPr>
              <w:t>二、上年结转政府信息公开申请数量</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restart"/>
            <w:noWrap w:val="0"/>
            <w:tcMar>
              <w:left w:w="57" w:type="dxa"/>
              <w:right w:w="57" w:type="dxa"/>
            </w:tcMar>
            <w:vAlign w:val="center"/>
          </w:tcPr>
          <w:p>
            <w:pPr>
              <w:spacing w:line="240" w:lineRule="exact"/>
              <w:jc w:val="center"/>
              <w:rPr>
                <w:kern w:val="0"/>
                <w:sz w:val="21"/>
                <w:szCs w:val="21"/>
              </w:rPr>
            </w:pPr>
            <w:r>
              <w:rPr>
                <w:rFonts w:hint="eastAsia"/>
                <w:kern w:val="0"/>
                <w:sz w:val="21"/>
                <w:szCs w:val="21"/>
              </w:rPr>
              <w:t>三、本年度办理结果</w:t>
            </w:r>
          </w:p>
        </w:tc>
        <w:tc>
          <w:tcPr>
            <w:tcW w:w="3589" w:type="dxa"/>
            <w:gridSpan w:val="2"/>
            <w:noWrap w:val="0"/>
            <w:tcMar>
              <w:left w:w="57" w:type="dxa"/>
              <w:right w:w="57" w:type="dxa"/>
            </w:tcMar>
            <w:vAlign w:val="center"/>
          </w:tcPr>
          <w:p>
            <w:pPr>
              <w:spacing w:line="240" w:lineRule="exact"/>
              <w:jc w:val="center"/>
              <w:rPr>
                <w:kern w:val="0"/>
                <w:sz w:val="21"/>
                <w:szCs w:val="21"/>
              </w:rPr>
            </w:pPr>
            <w:r>
              <w:rPr>
                <w:rFonts w:hint="eastAsia"/>
                <w:kern w:val="0"/>
                <w:sz w:val="21"/>
                <w:szCs w:val="21"/>
              </w:rPr>
              <w:t>（一）予以公开</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3589" w:type="dxa"/>
            <w:gridSpan w:val="2"/>
            <w:noWrap w:val="0"/>
            <w:tcMar>
              <w:left w:w="57" w:type="dxa"/>
              <w:right w:w="57" w:type="dxa"/>
            </w:tcMar>
            <w:vAlign w:val="center"/>
          </w:tcPr>
          <w:p>
            <w:pPr>
              <w:spacing w:line="240" w:lineRule="exact"/>
              <w:jc w:val="center"/>
              <w:rPr>
                <w:kern w:val="0"/>
                <w:sz w:val="21"/>
                <w:szCs w:val="21"/>
              </w:rPr>
            </w:pPr>
            <w:r>
              <w:rPr>
                <w:rFonts w:hint="eastAsia"/>
                <w:kern w:val="0"/>
                <w:sz w:val="21"/>
                <w:szCs w:val="21"/>
              </w:rPr>
              <w:t>（二）部分公开（区分处理的，只计这一情形，不计其他情形）</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restart"/>
            <w:noWrap w:val="0"/>
            <w:tcMar>
              <w:left w:w="57" w:type="dxa"/>
              <w:right w:w="57" w:type="dxa"/>
            </w:tcMar>
            <w:vAlign w:val="center"/>
          </w:tcPr>
          <w:p>
            <w:pPr>
              <w:spacing w:line="240" w:lineRule="exact"/>
              <w:jc w:val="center"/>
              <w:rPr>
                <w:rFonts w:hint="eastAsia"/>
                <w:kern w:val="0"/>
                <w:sz w:val="21"/>
                <w:szCs w:val="21"/>
              </w:rPr>
            </w:pPr>
            <w:r>
              <w:rPr>
                <w:rFonts w:hint="eastAsia"/>
                <w:kern w:val="0"/>
                <w:sz w:val="21"/>
                <w:szCs w:val="21"/>
              </w:rPr>
              <w:t>（三）</w:t>
            </w:r>
          </w:p>
          <w:p>
            <w:pPr>
              <w:spacing w:line="240" w:lineRule="exact"/>
              <w:jc w:val="center"/>
              <w:rPr>
                <w:rFonts w:hint="eastAsia"/>
                <w:kern w:val="0"/>
                <w:sz w:val="21"/>
                <w:szCs w:val="21"/>
              </w:rPr>
            </w:pPr>
            <w:r>
              <w:rPr>
                <w:rFonts w:hint="eastAsia"/>
                <w:kern w:val="0"/>
                <w:sz w:val="21"/>
                <w:szCs w:val="21"/>
              </w:rPr>
              <w:t>不予</w:t>
            </w:r>
          </w:p>
          <w:p>
            <w:pPr>
              <w:spacing w:line="240" w:lineRule="exact"/>
              <w:jc w:val="center"/>
              <w:rPr>
                <w:kern w:val="0"/>
                <w:sz w:val="21"/>
                <w:szCs w:val="21"/>
              </w:rPr>
            </w:pPr>
            <w:r>
              <w:rPr>
                <w:rFonts w:hint="eastAsia"/>
                <w:kern w:val="0"/>
                <w:sz w:val="21"/>
                <w:szCs w:val="21"/>
              </w:rPr>
              <w:t>公开</w:t>
            </w: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1.属于国家秘密</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2.其他法律行政法规禁止公开</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jc w:val="center"/>
              <w:rPr>
                <w:kern w:val="0"/>
                <w:sz w:val="21"/>
                <w:szCs w:val="21"/>
              </w:rPr>
            </w:pPr>
            <w:r>
              <w:rPr>
                <w:rFonts w:hint="eastAsia"/>
                <w:kern w:val="0"/>
                <w:sz w:val="21"/>
                <w:szCs w:val="21"/>
              </w:rPr>
              <w:t>3.危及“三安全一稳定”</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4.保护第三方合法权益</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5.属于三类内部事务信息</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6.属于四类过程性信息</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7.属于行政执法案卷</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8.属于行政查询事项</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restart"/>
            <w:noWrap w:val="0"/>
            <w:tcMar>
              <w:left w:w="57" w:type="dxa"/>
              <w:right w:w="57" w:type="dxa"/>
            </w:tcMar>
            <w:vAlign w:val="center"/>
          </w:tcPr>
          <w:p>
            <w:pPr>
              <w:spacing w:line="240" w:lineRule="exact"/>
              <w:jc w:val="center"/>
              <w:rPr>
                <w:kern w:val="0"/>
                <w:sz w:val="21"/>
                <w:szCs w:val="21"/>
              </w:rPr>
            </w:pPr>
            <w:r>
              <w:rPr>
                <w:rFonts w:hint="eastAsia"/>
                <w:kern w:val="0"/>
                <w:sz w:val="21"/>
                <w:szCs w:val="21"/>
              </w:rPr>
              <w:t>（四）无法提供</w:t>
            </w: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1.本机关不掌握相关政府信息</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2.没有现成信息需要另行制作</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3.补正后申请内容仍不明确</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restart"/>
            <w:noWrap w:val="0"/>
            <w:tcMar>
              <w:left w:w="57" w:type="dxa"/>
              <w:right w:w="57" w:type="dxa"/>
            </w:tcMar>
            <w:vAlign w:val="center"/>
          </w:tcPr>
          <w:p>
            <w:pPr>
              <w:spacing w:line="240" w:lineRule="exact"/>
              <w:jc w:val="center"/>
              <w:rPr>
                <w:kern w:val="0"/>
                <w:sz w:val="21"/>
                <w:szCs w:val="21"/>
              </w:rPr>
            </w:pPr>
            <w:r>
              <w:rPr>
                <w:rFonts w:hint="eastAsia"/>
                <w:kern w:val="0"/>
                <w:sz w:val="21"/>
                <w:szCs w:val="21"/>
              </w:rPr>
              <w:t>（五）不予处理</w:t>
            </w: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1.信访举报投诉类申请</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2.重复申请</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3.要求提供公开出版物</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4.无正当理由大量反复申请</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79" w:hRule="atLeast"/>
        </w:trPr>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center"/>
          </w:tcPr>
          <w:p>
            <w:pPr>
              <w:spacing w:line="240" w:lineRule="exact"/>
              <w:rPr>
                <w:kern w:val="0"/>
                <w:sz w:val="21"/>
                <w:szCs w:val="21"/>
              </w:rPr>
            </w:pPr>
            <w:r>
              <w:rPr>
                <w:rFonts w:hint="eastAsia"/>
                <w:kern w:val="0"/>
                <w:sz w:val="21"/>
                <w:szCs w:val="21"/>
              </w:rPr>
              <w:t>5.要求行政机关确认或重新出具已获取信息</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restart"/>
            <w:noWrap w:val="0"/>
            <w:tcMar>
              <w:left w:w="57" w:type="dxa"/>
              <w:right w:w="57" w:type="dxa"/>
            </w:tcMar>
            <w:vAlign w:val="center"/>
          </w:tcPr>
          <w:p>
            <w:pPr>
              <w:spacing w:line="240" w:lineRule="exact"/>
              <w:jc w:val="center"/>
              <w:rPr>
                <w:kern w:val="0"/>
                <w:sz w:val="21"/>
                <w:szCs w:val="21"/>
              </w:rPr>
            </w:pPr>
            <w:r>
              <w:rPr>
                <w:rFonts w:hint="eastAsia"/>
                <w:kern w:val="0"/>
                <w:sz w:val="21"/>
                <w:szCs w:val="21"/>
              </w:rPr>
              <w:t>（六）其他处理</w:t>
            </w:r>
          </w:p>
        </w:tc>
        <w:tc>
          <w:tcPr>
            <w:tcW w:w="2630" w:type="dxa"/>
            <w:noWrap w:val="0"/>
            <w:tcMar>
              <w:left w:w="57" w:type="dxa"/>
              <w:right w:w="57" w:type="dxa"/>
            </w:tcMar>
            <w:vAlign w:val="center"/>
          </w:tcPr>
          <w:p>
            <w:pPr>
              <w:spacing w:line="240" w:lineRule="exact"/>
              <w:rPr>
                <w:kern w:val="0"/>
                <w:sz w:val="21"/>
                <w:szCs w:val="21"/>
              </w:rPr>
            </w:pPr>
            <w:r>
              <w:rPr>
                <w:rFonts w:hint="eastAsia"/>
                <w:kern w:val="0"/>
                <w:sz w:val="21"/>
                <w:szCs w:val="21"/>
              </w:rPr>
              <w:t>1.申请人无正当理由逾期不补正、行政机关不再处理其政府信息公开申请</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center"/>
          </w:tcPr>
          <w:p>
            <w:pPr>
              <w:spacing w:line="240" w:lineRule="exact"/>
              <w:rPr>
                <w:kern w:val="0"/>
                <w:sz w:val="21"/>
                <w:szCs w:val="21"/>
              </w:rPr>
            </w:pPr>
            <w:r>
              <w:rPr>
                <w:rFonts w:hint="eastAsia"/>
                <w:kern w:val="0"/>
                <w:sz w:val="21"/>
                <w:szCs w:val="21"/>
              </w:rPr>
              <w:t>2.申请人逾期未按收费通知要求缴纳费用、行政机关不再处理其政府信息公开申请</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center"/>
          </w:tcPr>
          <w:p>
            <w:pPr>
              <w:spacing w:line="240" w:lineRule="exact"/>
              <w:rPr>
                <w:kern w:val="0"/>
                <w:sz w:val="21"/>
                <w:szCs w:val="21"/>
              </w:rPr>
            </w:pPr>
            <w:r>
              <w:rPr>
                <w:rFonts w:hint="eastAsia"/>
                <w:kern w:val="0"/>
                <w:sz w:val="21"/>
                <w:szCs w:val="21"/>
              </w:rPr>
              <w:t>3.其他</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3589" w:type="dxa"/>
            <w:gridSpan w:val="2"/>
            <w:noWrap w:val="0"/>
            <w:tcMar>
              <w:left w:w="57" w:type="dxa"/>
              <w:right w:w="57" w:type="dxa"/>
            </w:tcMar>
            <w:vAlign w:val="center"/>
          </w:tcPr>
          <w:p>
            <w:pPr>
              <w:spacing w:line="240" w:lineRule="exact"/>
              <w:jc w:val="center"/>
              <w:rPr>
                <w:kern w:val="0"/>
                <w:sz w:val="21"/>
                <w:szCs w:val="21"/>
              </w:rPr>
            </w:pPr>
            <w:r>
              <w:rPr>
                <w:rFonts w:hint="eastAsia"/>
                <w:kern w:val="0"/>
                <w:sz w:val="21"/>
                <w:szCs w:val="21"/>
              </w:rPr>
              <w:t>（七）总计</w:t>
            </w:r>
          </w:p>
        </w:tc>
        <w:tc>
          <w:tcPr>
            <w:tcW w:w="642" w:type="dxa"/>
            <w:noWrap w:val="0"/>
            <w:tcMar>
              <w:left w:w="57" w:type="dxa"/>
              <w:right w:w="57" w:type="dxa"/>
            </w:tcMar>
            <w:vAlign w:val="center"/>
          </w:tcPr>
          <w:p>
            <w:pPr>
              <w:spacing w:line="240" w:lineRule="exact"/>
              <w:jc w:val="center"/>
              <w:rPr>
                <w:rFonts w:hint="default"/>
                <w:kern w:val="0"/>
                <w:sz w:val="21"/>
                <w:szCs w:val="21"/>
                <w:lang w:val="en-US"/>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rFonts w:hint="default"/>
                <w:kern w:val="0"/>
                <w:sz w:val="21"/>
                <w:szCs w:val="21"/>
                <w:lang w:val="en-US"/>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4374" w:type="dxa"/>
            <w:gridSpan w:val="3"/>
            <w:noWrap w:val="0"/>
            <w:tcMar>
              <w:left w:w="57" w:type="dxa"/>
              <w:right w:w="57" w:type="dxa"/>
            </w:tcMar>
            <w:vAlign w:val="center"/>
          </w:tcPr>
          <w:p>
            <w:pPr>
              <w:spacing w:line="240" w:lineRule="exact"/>
              <w:jc w:val="center"/>
              <w:rPr>
                <w:kern w:val="0"/>
                <w:sz w:val="21"/>
                <w:szCs w:val="21"/>
              </w:rPr>
            </w:pPr>
            <w:r>
              <w:rPr>
                <w:rFonts w:hint="eastAsia"/>
                <w:kern w:val="0"/>
                <w:sz w:val="21"/>
                <w:szCs w:val="21"/>
              </w:rPr>
              <w:t>四、结转下年度继续办理</w:t>
            </w:r>
          </w:p>
        </w:tc>
        <w:tc>
          <w:tcPr>
            <w:tcW w:w="642" w:type="dxa"/>
            <w:noWrap w:val="0"/>
            <w:tcMar>
              <w:left w:w="57" w:type="dxa"/>
              <w:right w:w="57" w:type="dxa"/>
            </w:tcMar>
            <w:vAlign w:val="center"/>
          </w:tcPr>
          <w:p>
            <w:pPr>
              <w:spacing w:line="240" w:lineRule="exact"/>
              <w:jc w:val="center"/>
              <w:rPr>
                <w:rFonts w:hint="default"/>
                <w:kern w:val="0"/>
                <w:sz w:val="21"/>
                <w:szCs w:val="21"/>
                <w:lang w:val="en-US"/>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rFonts w:hint="default"/>
                <w:kern w:val="0"/>
                <w:sz w:val="21"/>
                <w:szCs w:val="21"/>
                <w:lang w:val="en-US"/>
              </w:rPr>
            </w:pPr>
            <w:r>
              <w:rPr>
                <w:rFonts w:hint="eastAsia"/>
                <w:kern w:val="0"/>
                <w:sz w:val="21"/>
                <w:szCs w:val="21"/>
                <w:lang w:val="en-US" w:eastAsia="zh-CN"/>
              </w:rPr>
              <w:t>0</w:t>
            </w:r>
          </w:p>
        </w:tc>
      </w:tr>
    </w:tbl>
    <w:p>
      <w:pPr>
        <w:pStyle w:val="6"/>
        <w:widowControl/>
        <w:spacing w:before="0" w:beforeAutospacing="0" w:after="0" w:afterAutospacing="0" w:line="560" w:lineRule="exact"/>
        <w:ind w:firstLine="640" w:firstLineChars="200"/>
        <w:jc w:val="both"/>
        <w:rPr>
          <w:rFonts w:hint="eastAsia" w:ascii="黑体" w:hAnsi="黑体" w:eastAsia="黑体" w:cs="Times New Roman"/>
          <w:szCs w:val="32"/>
        </w:rPr>
      </w:pPr>
      <w:r>
        <w:rPr>
          <w:rFonts w:hint="eastAsia" w:ascii="黑体" w:hAnsi="黑体" w:eastAsia="黑体" w:cs="Times New Roman"/>
          <w:szCs w:val="32"/>
        </w:rPr>
        <w:t>四、政府信息公开行政复议、行政诉讼情况</w:t>
      </w:r>
    </w:p>
    <w:tbl>
      <w:tblPr>
        <w:tblStyle w:val="7"/>
        <w:tblW w:w="936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35"/>
        <w:gridCol w:w="540"/>
        <w:gridCol w:w="649"/>
        <w:gridCol w:w="649"/>
        <w:gridCol w:w="650"/>
        <w:gridCol w:w="650"/>
        <w:gridCol w:w="576"/>
        <w:gridCol w:w="650"/>
        <w:gridCol w:w="650"/>
        <w:gridCol w:w="650"/>
        <w:gridCol w:w="650"/>
        <w:gridCol w:w="47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122"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行政复议</w:t>
            </w:r>
          </w:p>
        </w:tc>
        <w:tc>
          <w:tcPr>
            <w:tcW w:w="6246"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结果维持</w:t>
            </w:r>
          </w:p>
        </w:tc>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结果</w:t>
            </w:r>
            <w:r>
              <w:rPr>
                <w:rFonts w:hint="eastAsia"/>
                <w:kern w:val="0"/>
                <w:sz w:val="21"/>
                <w:szCs w:val="21"/>
              </w:rPr>
              <w:br w:type="textWrapping"/>
            </w:r>
            <w:r>
              <w:rPr>
                <w:rFonts w:hint="eastAsia"/>
                <w:kern w:val="0"/>
                <w:sz w:val="21"/>
                <w:szCs w:val="21"/>
              </w:rPr>
              <w:t>纠正</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其他</w:t>
            </w:r>
            <w:r>
              <w:rPr>
                <w:rFonts w:hint="eastAsia"/>
                <w:kern w:val="0"/>
                <w:sz w:val="21"/>
                <w:szCs w:val="21"/>
              </w:rPr>
              <w:br w:type="textWrapping"/>
            </w:r>
            <w:r>
              <w:rPr>
                <w:rFonts w:hint="eastAsia"/>
                <w:kern w:val="0"/>
                <w:sz w:val="21"/>
                <w:szCs w:val="21"/>
              </w:rPr>
              <w:t>结果</w:t>
            </w:r>
          </w:p>
        </w:tc>
        <w:tc>
          <w:tcPr>
            <w:tcW w:w="635"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尚未</w:t>
            </w:r>
            <w:r>
              <w:rPr>
                <w:rFonts w:hint="eastAsia"/>
                <w:kern w:val="0"/>
                <w:sz w:val="21"/>
                <w:szCs w:val="21"/>
              </w:rPr>
              <w:br w:type="textWrapping"/>
            </w:r>
            <w:r>
              <w:rPr>
                <w:rFonts w:hint="eastAsia"/>
                <w:kern w:val="0"/>
                <w:sz w:val="21"/>
                <w:szCs w:val="21"/>
              </w:rPr>
              <w:t>审结</w:t>
            </w:r>
          </w:p>
        </w:tc>
        <w:tc>
          <w:tcPr>
            <w:tcW w:w="540"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总计</w:t>
            </w:r>
          </w:p>
        </w:tc>
        <w:tc>
          <w:tcPr>
            <w:tcW w:w="3174"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未经复议直接起诉</w:t>
            </w:r>
          </w:p>
        </w:tc>
        <w:tc>
          <w:tcPr>
            <w:tcW w:w="3072"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kern w:val="0"/>
                <w:sz w:val="21"/>
                <w:szCs w:val="21"/>
              </w:rPr>
            </w:pPr>
          </w:p>
        </w:tc>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kern w:val="0"/>
                <w:sz w:val="21"/>
                <w:szCs w:val="21"/>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kern w:val="0"/>
                <w:sz w:val="21"/>
                <w:szCs w:val="21"/>
              </w:rPr>
            </w:pPr>
          </w:p>
        </w:tc>
        <w:tc>
          <w:tcPr>
            <w:tcW w:w="635"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kern w:val="0"/>
                <w:sz w:val="21"/>
                <w:szCs w:val="21"/>
              </w:rPr>
            </w:pPr>
          </w:p>
        </w:tc>
        <w:tc>
          <w:tcPr>
            <w:tcW w:w="540"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kern w:val="0"/>
                <w:sz w:val="21"/>
                <w:szCs w:val="21"/>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结果</w:t>
            </w:r>
            <w:r>
              <w:rPr>
                <w:rFonts w:hint="eastAsia"/>
                <w:kern w:val="0"/>
                <w:sz w:val="21"/>
                <w:szCs w:val="21"/>
              </w:rPr>
              <w:br w:type="textWrapping"/>
            </w:r>
            <w:r>
              <w:rPr>
                <w:rFonts w:hint="eastAsia"/>
                <w:kern w:val="0"/>
                <w:sz w:val="21"/>
                <w:szCs w:val="21"/>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结果</w:t>
            </w:r>
            <w:r>
              <w:rPr>
                <w:rFonts w:hint="eastAsia"/>
                <w:kern w:val="0"/>
                <w:sz w:val="21"/>
                <w:szCs w:val="21"/>
              </w:rPr>
              <w:br w:type="textWrapping"/>
            </w:r>
            <w:r>
              <w:rPr>
                <w:rFonts w:hint="eastAsia"/>
                <w:kern w:val="0"/>
                <w:sz w:val="21"/>
                <w:szCs w:val="21"/>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其他</w:t>
            </w:r>
            <w:r>
              <w:rPr>
                <w:rFonts w:hint="eastAsia"/>
                <w:kern w:val="0"/>
                <w:sz w:val="21"/>
                <w:szCs w:val="21"/>
              </w:rPr>
              <w:br w:type="textWrapping"/>
            </w:r>
            <w:r>
              <w:rPr>
                <w:rFonts w:hint="eastAsia"/>
                <w:kern w:val="0"/>
                <w:sz w:val="21"/>
                <w:szCs w:val="21"/>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尚未</w:t>
            </w:r>
            <w:r>
              <w:rPr>
                <w:rFonts w:hint="eastAsia"/>
                <w:kern w:val="0"/>
                <w:sz w:val="21"/>
                <w:szCs w:val="21"/>
              </w:rPr>
              <w:br w:type="textWrapping"/>
            </w:r>
            <w:r>
              <w:rPr>
                <w:rFonts w:hint="eastAsia"/>
                <w:kern w:val="0"/>
                <w:sz w:val="21"/>
                <w:szCs w:val="21"/>
              </w:rPr>
              <w:t>审结</w:t>
            </w:r>
          </w:p>
        </w:tc>
        <w:tc>
          <w:tcPr>
            <w:tcW w:w="576"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总计</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结果</w:t>
            </w:r>
            <w:r>
              <w:rPr>
                <w:rFonts w:hint="eastAsia"/>
                <w:kern w:val="0"/>
                <w:sz w:val="21"/>
                <w:szCs w:val="21"/>
              </w:rPr>
              <w:br w:type="textWrapping"/>
            </w:r>
            <w:r>
              <w:rPr>
                <w:rFonts w:hint="eastAsia"/>
                <w:kern w:val="0"/>
                <w:sz w:val="21"/>
                <w:szCs w:val="21"/>
              </w:rPr>
              <w:t>维持</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结果</w:t>
            </w:r>
            <w:r>
              <w:rPr>
                <w:rFonts w:hint="eastAsia"/>
                <w:kern w:val="0"/>
                <w:sz w:val="21"/>
                <w:szCs w:val="21"/>
              </w:rPr>
              <w:br w:type="textWrapping"/>
            </w:r>
            <w:r>
              <w:rPr>
                <w:rFonts w:hint="eastAsia"/>
                <w:kern w:val="0"/>
                <w:sz w:val="21"/>
                <w:szCs w:val="21"/>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其他</w:t>
            </w:r>
            <w:r>
              <w:rPr>
                <w:rFonts w:hint="eastAsia"/>
                <w:kern w:val="0"/>
                <w:sz w:val="21"/>
                <w:szCs w:val="21"/>
              </w:rPr>
              <w:br w:type="textWrapping"/>
            </w:r>
            <w:r>
              <w:rPr>
                <w:rFonts w:hint="eastAsia"/>
                <w:kern w:val="0"/>
                <w:sz w:val="21"/>
                <w:szCs w:val="21"/>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尚未</w:t>
            </w:r>
            <w:r>
              <w:rPr>
                <w:rFonts w:hint="eastAsia"/>
                <w:kern w:val="0"/>
                <w:sz w:val="21"/>
                <w:szCs w:val="21"/>
              </w:rPr>
              <w:br w:type="textWrapping"/>
            </w:r>
            <w:r>
              <w:rPr>
                <w:rFonts w:hint="eastAsia"/>
                <w:kern w:val="0"/>
                <w:sz w:val="21"/>
                <w:szCs w:val="21"/>
              </w:rPr>
              <w:t>审结</w:t>
            </w:r>
          </w:p>
        </w:tc>
        <w:tc>
          <w:tcPr>
            <w:tcW w:w="47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lang w:val="en-US" w:eastAsia="zh-CN"/>
              </w:rPr>
              <w:t>0</w:t>
            </w:r>
            <w:r>
              <w:rPr>
                <w:kern w:val="0"/>
                <w:sz w:val="21"/>
                <w:szCs w:val="21"/>
              </w:rPr>
              <w:t> </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635"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540"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576"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472"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kern w:val="0"/>
                <w:sz w:val="21"/>
                <w:szCs w:val="21"/>
                <w:lang w:val="en-US" w:eastAsia="zh-CN"/>
              </w:rPr>
            </w:pPr>
            <w:r>
              <w:rPr>
                <w:rFonts w:hint="eastAsia"/>
                <w:kern w:val="0"/>
                <w:sz w:val="21"/>
                <w:szCs w:val="21"/>
                <w:lang w:val="en-US" w:eastAsia="zh-CN"/>
              </w:rPr>
              <w:t>0</w:t>
            </w:r>
          </w:p>
        </w:tc>
      </w:tr>
    </w:tbl>
    <w:p>
      <w:pPr>
        <w:pStyle w:val="6"/>
        <w:keepNext w:val="0"/>
        <w:keepLines w:val="0"/>
        <w:pageBreakBefore w:val="0"/>
        <w:widowControl/>
        <w:kinsoku/>
        <w:wordWrap/>
        <w:overflowPunct/>
        <w:topLinePunct w:val="0"/>
        <w:autoSpaceDN/>
        <w:bidi w:val="0"/>
        <w:adjustRightInd/>
        <w:snapToGrid/>
        <w:spacing w:before="0" w:beforeAutospacing="0" w:after="0" w:afterAutospacing="0" w:line="520" w:lineRule="exact"/>
        <w:ind w:firstLine="640" w:firstLineChars="200"/>
        <w:jc w:val="both"/>
        <w:textAlignment w:val="auto"/>
        <w:rPr>
          <w:rFonts w:hint="eastAsia" w:ascii="黑体" w:hAnsi="黑体" w:eastAsia="黑体" w:cs="Times New Roman"/>
          <w:szCs w:val="32"/>
        </w:rPr>
      </w:pPr>
    </w:p>
    <w:p>
      <w:pPr>
        <w:pStyle w:val="6"/>
        <w:keepNext w:val="0"/>
        <w:keepLines w:val="0"/>
        <w:pageBreakBefore w:val="0"/>
        <w:widowControl/>
        <w:kinsoku/>
        <w:wordWrap/>
        <w:overflowPunct/>
        <w:topLinePunct w:val="0"/>
        <w:autoSpaceDN/>
        <w:bidi w:val="0"/>
        <w:adjustRightInd/>
        <w:snapToGrid/>
        <w:spacing w:before="0" w:beforeAutospacing="0" w:after="0" w:afterAutospacing="0" w:line="520" w:lineRule="exact"/>
        <w:ind w:firstLine="640" w:firstLineChars="200"/>
        <w:jc w:val="both"/>
        <w:textAlignment w:val="auto"/>
        <w:rPr>
          <w:rFonts w:hint="eastAsia" w:ascii="黑体" w:hAnsi="黑体" w:eastAsia="黑体" w:cs="Times New Roman"/>
          <w:szCs w:val="32"/>
        </w:rPr>
      </w:pPr>
      <w:r>
        <w:rPr>
          <w:rFonts w:hint="eastAsia" w:ascii="黑体" w:hAnsi="黑体" w:eastAsia="黑体" w:cs="Times New Roman"/>
          <w:szCs w:val="32"/>
        </w:rPr>
        <w:t>五、存在的主要问题及改进情况</w:t>
      </w:r>
    </w:p>
    <w:p>
      <w:pPr>
        <w:keepNext w:val="0"/>
        <w:keepLines w:val="0"/>
        <w:pageBreakBefore w:val="0"/>
        <w:widowControl/>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一、</w:t>
      </w:r>
      <w:r>
        <w:rPr>
          <w:rFonts w:hint="eastAsia" w:ascii="仿宋_GB2312" w:hAnsi="仿宋_GB2312" w:eastAsia="仿宋_GB2312" w:cs="仿宋_GB2312"/>
          <w:sz w:val="32"/>
          <w:szCs w:val="32"/>
          <w:lang w:val="en-US" w:eastAsia="zh-CN"/>
        </w:rPr>
        <w:t>2021年，</w:t>
      </w:r>
      <w:r>
        <w:rPr>
          <w:rFonts w:hint="eastAsia" w:ascii="仿宋_GB2312" w:hAnsi="仿宋_GB2312" w:cs="仿宋_GB2312"/>
          <w:sz w:val="32"/>
          <w:szCs w:val="32"/>
          <w:lang w:val="en-US" w:eastAsia="zh-CN"/>
        </w:rPr>
        <w:t>信息</w:t>
      </w:r>
      <w:r>
        <w:rPr>
          <w:rFonts w:hint="eastAsia" w:ascii="仿宋_GB2312" w:hAnsi="仿宋_GB2312" w:eastAsia="仿宋_GB2312" w:cs="仿宋_GB2312"/>
          <w:sz w:val="32"/>
          <w:szCs w:val="32"/>
          <w:lang w:val="en-US" w:eastAsia="zh-CN"/>
        </w:rPr>
        <w:t>公开工作主动</w:t>
      </w:r>
      <w:r>
        <w:rPr>
          <w:rFonts w:hint="eastAsia" w:ascii="仿宋_GB2312" w:hAnsi="仿宋_GB2312" w:cs="仿宋_GB2312"/>
          <w:sz w:val="32"/>
          <w:szCs w:val="32"/>
          <w:lang w:val="en-US" w:eastAsia="zh-CN"/>
        </w:rPr>
        <w:t>性</w:t>
      </w:r>
      <w:r>
        <w:rPr>
          <w:rFonts w:hint="eastAsia" w:ascii="仿宋_GB2312" w:hAnsi="仿宋_GB2312" w:eastAsia="仿宋_GB2312" w:cs="仿宋_GB2312"/>
          <w:sz w:val="32"/>
          <w:szCs w:val="32"/>
          <w:lang w:val="en-US" w:eastAsia="zh-CN"/>
        </w:rPr>
        <w:t>不高，政策解读模式相对单一等问题。</w:t>
      </w:r>
    </w:p>
    <w:p>
      <w:pPr>
        <w:keepNext w:val="0"/>
        <w:keepLines w:val="0"/>
        <w:pageBreakBefore w:val="0"/>
        <w:widowControl/>
        <w:kinsoku/>
        <w:wordWrap/>
        <w:overflowPunct/>
        <w:topLinePunct w:val="0"/>
        <w:autoSpaceDE/>
        <w:autoSpaceDN/>
        <w:bidi w:val="0"/>
        <w:adjustRightInd w:val="0"/>
        <w:snapToGrid w:val="0"/>
        <w:spacing w:line="520" w:lineRule="exact"/>
        <w:ind w:firstLine="630"/>
        <w:jc w:val="left"/>
        <w:textAlignment w:val="auto"/>
        <w:rPr>
          <w:rFonts w:hint="eastAsia"/>
          <w:lang w:val="en-US" w:eastAsia="zh-CN"/>
        </w:rPr>
      </w:pPr>
      <w:r>
        <w:rPr>
          <w:rFonts w:hint="eastAsia" w:ascii="仿宋_GB2312" w:hAnsi="仿宋_GB2312" w:cs="仿宋_GB2312"/>
          <w:sz w:val="32"/>
          <w:szCs w:val="32"/>
          <w:lang w:val="en-US" w:eastAsia="zh-CN"/>
        </w:rPr>
        <w:t>二、</w:t>
      </w:r>
      <w:r>
        <w:rPr>
          <w:rFonts w:hint="eastAsia" w:ascii="仿宋_GB2312" w:hAnsi="宋体" w:eastAsia="仿宋_GB2312"/>
          <w:sz w:val="32"/>
          <w:szCs w:val="32"/>
        </w:rPr>
        <w:t>第一时间</w:t>
      </w:r>
      <w:r>
        <w:rPr>
          <w:rFonts w:hint="eastAsia" w:ascii="仿宋_GB2312" w:hAnsi="宋体"/>
          <w:sz w:val="32"/>
          <w:szCs w:val="32"/>
          <w:lang w:eastAsia="zh-CN"/>
        </w:rPr>
        <w:t>没有</w:t>
      </w:r>
      <w:r>
        <w:rPr>
          <w:rFonts w:hint="eastAsia" w:ascii="仿宋_GB2312" w:hAnsi="宋体" w:eastAsia="仿宋_GB2312"/>
          <w:sz w:val="32"/>
          <w:szCs w:val="32"/>
        </w:rPr>
        <w:t>完善</w:t>
      </w:r>
      <w:r>
        <w:rPr>
          <w:rFonts w:hint="eastAsia" w:ascii="仿宋_GB2312" w:hAnsi="宋体" w:eastAsia="仿宋_GB2312"/>
          <w:sz w:val="32"/>
          <w:szCs w:val="32"/>
          <w:lang w:eastAsia="zh-CN"/>
        </w:rPr>
        <w:t>政务</w:t>
      </w:r>
      <w:r>
        <w:rPr>
          <w:rFonts w:hint="eastAsia" w:ascii="仿宋_GB2312" w:hAnsi="宋体" w:eastAsia="仿宋_GB2312"/>
          <w:sz w:val="32"/>
          <w:szCs w:val="32"/>
        </w:rPr>
        <w:t>信息、</w:t>
      </w:r>
      <w:r>
        <w:rPr>
          <w:rFonts w:hint="eastAsia" w:ascii="仿宋_GB2312" w:hAnsi="宋体"/>
          <w:sz w:val="32"/>
          <w:szCs w:val="32"/>
          <w:lang w:eastAsia="zh-CN"/>
        </w:rPr>
        <w:t>公开</w:t>
      </w:r>
      <w:r>
        <w:rPr>
          <w:rFonts w:hint="eastAsia" w:ascii="仿宋_GB2312" w:hAnsi="宋体" w:eastAsia="仿宋_GB2312"/>
          <w:sz w:val="32"/>
          <w:szCs w:val="32"/>
        </w:rPr>
        <w:t>数量较少。</w:t>
      </w:r>
    </w:p>
    <w:p>
      <w:pPr>
        <w:keepNext w:val="0"/>
        <w:keepLines w:val="0"/>
        <w:pageBreakBefore w:val="0"/>
        <w:widowControl/>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对此，2022年，重点</w:t>
      </w:r>
      <w:r>
        <w:rPr>
          <w:rFonts w:hint="eastAsia" w:ascii="仿宋_GB2312" w:hAnsi="仿宋_GB2312" w:cs="仿宋_GB2312"/>
          <w:sz w:val="32"/>
          <w:szCs w:val="32"/>
          <w:lang w:val="en-US" w:eastAsia="zh-CN"/>
        </w:rPr>
        <w:t>加强两</w:t>
      </w:r>
      <w:r>
        <w:rPr>
          <w:rFonts w:hint="eastAsia" w:ascii="仿宋_GB2312" w:hAnsi="仿宋_GB2312" w:eastAsia="仿宋_GB2312" w:cs="仿宋_GB2312"/>
          <w:sz w:val="32"/>
          <w:szCs w:val="32"/>
          <w:lang w:val="en-US" w:eastAsia="zh-CN"/>
        </w:rPr>
        <w:t>方面</w:t>
      </w:r>
      <w:r>
        <w:rPr>
          <w:rFonts w:hint="eastAsia" w:ascii="仿宋_GB2312" w:hAnsi="仿宋_GB2312" w:cs="仿宋_GB2312"/>
          <w:sz w:val="32"/>
          <w:szCs w:val="32"/>
          <w:lang w:val="en-US" w:eastAsia="zh-CN"/>
        </w:rPr>
        <w:t>改进</w:t>
      </w:r>
      <w:r>
        <w:rPr>
          <w:rFonts w:hint="eastAsia" w:ascii="仿宋_GB2312" w:hAnsi="仿宋_GB2312" w:eastAsia="仿宋_GB2312" w:cs="仿宋_GB2312"/>
          <w:sz w:val="32"/>
          <w:szCs w:val="32"/>
          <w:lang w:val="en-US" w:eastAsia="zh-CN"/>
        </w:rPr>
        <w:t>工作：</w:t>
      </w:r>
    </w:p>
    <w:p>
      <w:pPr>
        <w:keepNext w:val="0"/>
        <w:keepLines w:val="0"/>
        <w:pageBreakBefore w:val="0"/>
        <w:widowControl/>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w:t>
      </w:r>
      <w:r>
        <w:rPr>
          <w:rFonts w:hint="eastAsia" w:ascii="仿宋_GB2312" w:hAnsi="仿宋_GB2312" w:cs="仿宋_GB2312"/>
          <w:sz w:val="32"/>
          <w:szCs w:val="32"/>
          <w:lang w:val="en-US" w:eastAsia="zh-CN"/>
        </w:rPr>
        <w:t>以健全信息公开规范、提升信息公开质量</w:t>
      </w:r>
      <w:r>
        <w:rPr>
          <w:rFonts w:hint="eastAsia" w:ascii="仿宋_GB2312" w:hAnsi="仿宋_GB2312" w:eastAsia="仿宋_GB2312" w:cs="仿宋_GB2312"/>
          <w:sz w:val="32"/>
          <w:szCs w:val="32"/>
          <w:lang w:val="en-US" w:eastAsia="zh-CN"/>
        </w:rPr>
        <w:t>。规范化</w:t>
      </w:r>
      <w:r>
        <w:rPr>
          <w:rFonts w:hint="eastAsia" w:ascii="仿宋_GB2312" w:hAnsi="仿宋_GB2312" w:cs="仿宋_GB2312"/>
          <w:sz w:val="32"/>
          <w:szCs w:val="32"/>
          <w:lang w:val="en-US" w:eastAsia="zh-CN"/>
        </w:rPr>
        <w:t>格式和</w:t>
      </w:r>
      <w:r>
        <w:rPr>
          <w:rFonts w:hint="eastAsia" w:ascii="仿宋_GB2312" w:hAnsi="仿宋_GB2312" w:eastAsia="仿宋_GB2312" w:cs="仿宋_GB2312"/>
          <w:sz w:val="32"/>
          <w:szCs w:val="32"/>
          <w:lang w:val="en-US" w:eastAsia="zh-CN"/>
        </w:rPr>
        <w:t>标准化机制</w:t>
      </w:r>
      <w:r>
        <w:rPr>
          <w:rFonts w:hint="eastAsia" w:ascii="仿宋_GB2312" w:hAnsi="仿宋_GB2312" w:cs="仿宋_GB2312"/>
          <w:sz w:val="32"/>
          <w:szCs w:val="32"/>
          <w:lang w:val="en-US" w:eastAsia="zh-CN"/>
        </w:rPr>
        <w:t>。</w:t>
      </w:r>
    </w:p>
    <w:p>
      <w:pPr>
        <w:pStyle w:val="6"/>
        <w:keepNext w:val="0"/>
        <w:keepLines w:val="0"/>
        <w:pageBreakBefore w:val="0"/>
        <w:widowControl/>
        <w:kinsoku/>
        <w:wordWrap/>
        <w:overflowPunct/>
        <w:topLinePunct w:val="0"/>
        <w:autoSpaceDN/>
        <w:bidi w:val="0"/>
        <w:adjustRightInd/>
        <w:snapToGrid/>
        <w:spacing w:before="0" w:beforeAutospacing="0" w:after="0" w:afterAutospacing="0"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二是依托数字化改革，加大政策创新力度。</w:t>
      </w:r>
      <w:r>
        <w:rPr>
          <w:rFonts w:hint="eastAsia" w:ascii="仿宋_GB2312" w:hAnsi="仿宋_GB2312" w:cs="仿宋_GB2312"/>
          <w:sz w:val="32"/>
          <w:szCs w:val="32"/>
          <w:lang w:val="en-US" w:eastAsia="zh-CN"/>
        </w:rPr>
        <w:t>进一步细分信息公开范围</w:t>
      </w:r>
      <w:r>
        <w:rPr>
          <w:rFonts w:hint="eastAsia" w:ascii="仿宋_GB2312" w:hAnsi="仿宋_GB2312" w:eastAsia="仿宋_GB2312" w:cs="仿宋_GB2312"/>
          <w:sz w:val="32"/>
          <w:szCs w:val="32"/>
          <w:lang w:val="en-US" w:eastAsia="zh-CN"/>
        </w:rPr>
        <w:t>，进一步提升可读</w:t>
      </w:r>
      <w:r>
        <w:rPr>
          <w:rFonts w:hint="eastAsia" w:ascii="仿宋_GB2312" w:hAnsi="仿宋_GB2312" w:cs="仿宋_GB2312"/>
          <w:sz w:val="32"/>
          <w:szCs w:val="32"/>
          <w:lang w:val="en-US" w:eastAsia="zh-CN"/>
        </w:rPr>
        <w:t>性、实用性</w:t>
      </w:r>
      <w:r>
        <w:rPr>
          <w:rFonts w:hint="eastAsia" w:ascii="仿宋_GB2312" w:hAnsi="仿宋_GB2312" w:eastAsia="仿宋_GB2312" w:cs="仿宋_GB2312"/>
          <w:sz w:val="32"/>
          <w:szCs w:val="32"/>
          <w:lang w:val="en-US" w:eastAsia="zh-CN"/>
        </w:rPr>
        <w:t>。</w:t>
      </w:r>
    </w:p>
    <w:p>
      <w:pPr>
        <w:pStyle w:val="6"/>
        <w:keepNext w:val="0"/>
        <w:keepLines w:val="0"/>
        <w:pageBreakBefore w:val="0"/>
        <w:widowControl/>
        <w:kinsoku/>
        <w:wordWrap/>
        <w:overflowPunct/>
        <w:topLinePunct w:val="0"/>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Times New Roman"/>
          <w:szCs w:val="32"/>
        </w:rPr>
      </w:pPr>
      <w:r>
        <w:rPr>
          <w:rFonts w:hint="eastAsia" w:ascii="黑体" w:hAnsi="黑体" w:eastAsia="黑体" w:cs="Times New Roman"/>
          <w:szCs w:val="32"/>
        </w:rPr>
        <w:t>六、其他需要报告的事项</w:t>
      </w:r>
    </w:p>
    <w:p>
      <w:pPr>
        <w:keepNext w:val="0"/>
        <w:keepLines w:val="0"/>
        <w:pageBreakBefore w:val="0"/>
        <w:widowControl/>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报告2021年度，本机关未收到政府信息公开申请，故未产生任何有关政府信息公开信息处理事项及费用。后续将严格执行国务院办公厅印发的《政府信息公开信息处理费管理办法》和省、市政府办公厅相关规定，维护政府信息公开工作秩序，更好地保障公众知情权。</w:t>
      </w:r>
    </w:p>
    <w:p>
      <w:pPr>
        <w:keepNext w:val="0"/>
        <w:keepLines w:val="0"/>
        <w:pageBreakBefore w:val="0"/>
        <w:widowControl/>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9A6525"/>
    <w:rsid w:val="01F36146"/>
    <w:rsid w:val="028F1A45"/>
    <w:rsid w:val="03E46B5A"/>
    <w:rsid w:val="083E4361"/>
    <w:rsid w:val="0D9778A0"/>
    <w:rsid w:val="0F9A6525"/>
    <w:rsid w:val="11F609B1"/>
    <w:rsid w:val="13396EA8"/>
    <w:rsid w:val="1460634D"/>
    <w:rsid w:val="1CC40428"/>
    <w:rsid w:val="1E3412AB"/>
    <w:rsid w:val="209357EA"/>
    <w:rsid w:val="2314430C"/>
    <w:rsid w:val="31523823"/>
    <w:rsid w:val="38C167AF"/>
    <w:rsid w:val="4AED6719"/>
    <w:rsid w:val="4D3D619C"/>
    <w:rsid w:val="58CC2195"/>
    <w:rsid w:val="6083629C"/>
    <w:rsid w:val="687B0D6B"/>
    <w:rsid w:val="6A363C28"/>
    <w:rsid w:val="6BC12979"/>
    <w:rsid w:val="6E9308D7"/>
    <w:rsid w:val="72783CF6"/>
    <w:rsid w:val="75E61AE3"/>
    <w:rsid w:val="7C3A2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jc w:val="both"/>
    </w:pPr>
    <w:rPr>
      <w:rFonts w:ascii="Calibri" w:hAnsi="Calibri" w:eastAsia="仿宋_GB2312" w:cs="Times New Roman"/>
      <w:kern w:val="2"/>
      <w:sz w:val="32"/>
      <w:szCs w:val="3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unhideWhenUsed/>
    <w:qFormat/>
    <w:uiPriority w:val="99"/>
    <w:pPr>
      <w:spacing w:after="0" w:line="300" w:lineRule="auto"/>
      <w:ind w:left="0" w:leftChars="0"/>
    </w:pPr>
    <w:rPr>
      <w:rFonts w:hint="default" w:ascii="Calibri" w:hAnsi="Calibri"/>
      <w:i/>
      <w:sz w:val="21"/>
    </w:rPr>
  </w:style>
  <w:style w:type="paragraph" w:styleId="3">
    <w:name w:val="Body Text Indent"/>
    <w:basedOn w:val="1"/>
    <w:next w:val="4"/>
    <w:unhideWhenUsed/>
    <w:qFormat/>
    <w:uiPriority w:val="99"/>
    <w:pPr>
      <w:spacing w:after="120"/>
      <w:ind w:left="420" w:leftChars="200"/>
    </w:pPr>
    <w:rPr>
      <w:rFonts w:hint="default"/>
      <w:sz w:val="21"/>
    </w:rPr>
  </w:style>
  <w:style w:type="paragraph" w:styleId="4">
    <w:name w:val="Normal Indent"/>
    <w:basedOn w:val="1"/>
    <w:qFormat/>
    <w:uiPriority w:val="0"/>
    <w:pPr>
      <w:ind w:firstLine="420" w:firstLineChars="200"/>
    </w:pPr>
    <w:rPr>
      <w:rFonts w:eastAsia="仿宋"/>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Normal (Web)"/>
    <w:basedOn w:val="1"/>
    <w:semiHidden/>
    <w:uiPriority w:val="0"/>
    <w:pPr>
      <w:jc w:val="left"/>
    </w:pPr>
    <w:rPr>
      <w:rFonts w:eastAsia="仿宋_GB2312"/>
      <w:kern w:val="0"/>
      <w:sz w:val="32"/>
      <w:szCs w:val="32"/>
    </w:rPr>
  </w:style>
  <w:style w:type="character" w:styleId="9">
    <w:name w:val="page number"/>
    <w:basedOn w:val="8"/>
    <w:uiPriority w:val="0"/>
  </w:style>
  <w:style w:type="paragraph" w:customStyle="1" w:styleId="10">
    <w:name w:val="Char Char Char Char Char Char Char"/>
    <w:basedOn w:val="1"/>
    <w:qFormat/>
    <w:uiPriority w:val="0"/>
    <w:pPr>
      <w:widowControl w:val="0"/>
    </w:pPr>
    <w:rPr>
      <w:rFonts w:ascii="Tahoma" w:hAnsi="Tahoma" w:eastAsia="仿宋_GB231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2022-01-06T11:23:00Z</dcterms:created>
  <dc:creator>dell</dc:creator>
  <cp:lastModifiedBy>vina</cp:lastModifiedBy>
  <cp:lastPrinted>2022-01-13T03:02:46Z</cp:lastPrinted>
  <dcterms:modified xsi:type="dcterms:W3CDTF">2022-01-13T03:02:49Z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E1BC8783AE7642A580C97812CB794ADF</vt:lpwstr>
  </property>
</Properties>
</file>