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宁波市镇海区政务服务办公室</w:t>
      </w: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年政府信息公开工作年度报告</w:t>
      </w:r>
    </w:p>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eastAsia="仿宋_GB2312"/>
          <w:sz w:val="32"/>
          <w:szCs w:val="32"/>
        </w:rPr>
      </w:pPr>
      <w:r>
        <w:rPr>
          <w:rFonts w:hint="eastAsia" w:ascii="仿宋_GB2312" w:eastAsia="仿宋_GB2312"/>
          <w:sz w:val="32"/>
          <w:szCs w:val="32"/>
        </w:rPr>
        <w:t>根据《中华人民共和国政府信息公开条例》（国务院令第711号）、《国务院办公厅政府信息与政务公开办公室关于印发中华人民共和国政府信息公开工作年度报告格式的通知》（国办公开办函〔2021〕30号）、《宁波市政府信息公开规定》和省、市、区有关政府信息公开工作要求，结合镇海区政务服务办公室202</w:t>
      </w:r>
      <w:r>
        <w:rPr>
          <w:rFonts w:hint="eastAsia" w:ascii="仿宋_GB2312" w:eastAsia="仿宋_GB2312"/>
          <w:sz w:val="32"/>
          <w:szCs w:val="32"/>
          <w:lang w:val="en-US" w:eastAsia="zh-CN"/>
        </w:rPr>
        <w:t>2</w:t>
      </w:r>
      <w:r>
        <w:rPr>
          <w:rFonts w:hint="eastAsia" w:ascii="仿宋_GB2312" w:eastAsia="仿宋_GB2312"/>
          <w:sz w:val="32"/>
          <w:szCs w:val="32"/>
        </w:rPr>
        <w:t>年度政府信息公开工作实际，全文包含总体情况、主动公开政府信息情况、收到和处理政府信息公开申请情况、政府信息公开行政复议和行政诉讼情况、存在的主要问题及改进情况、其他需要报告的事项六方面。本报告中所列数据的统计期限从202</w:t>
      </w:r>
      <w:r>
        <w:rPr>
          <w:rFonts w:hint="eastAsia" w:ascii="仿宋_GB2312" w:eastAsia="仿宋_GB2312"/>
          <w:sz w:val="32"/>
          <w:szCs w:val="32"/>
          <w:lang w:val="en-US" w:eastAsia="zh-CN"/>
        </w:rPr>
        <w:t>2</w:t>
      </w:r>
      <w:r>
        <w:rPr>
          <w:rFonts w:hint="eastAsia" w:ascii="仿宋_GB2312" w:eastAsia="仿宋_GB2312"/>
          <w:sz w:val="32"/>
          <w:szCs w:val="32"/>
        </w:rPr>
        <w:t>年1月1日到12月31日止。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黑体" w:hAnsi="黑体" w:eastAsia="黑体"/>
          <w:sz w:val="32"/>
          <w:szCs w:val="32"/>
        </w:rPr>
      </w:pPr>
      <w:r>
        <w:rPr>
          <w:rFonts w:hint="eastAsia" w:ascii="黑体" w:hAnsi="黑体" w:eastAsia="黑体"/>
          <w:sz w:val="32"/>
          <w:szCs w:val="32"/>
        </w:rPr>
        <w:t xml:space="preserve">    一、总体情况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年，我办认真贯彻《中华人民共和国政府信息公开条例》，</w:t>
      </w:r>
      <w:bookmarkStart w:id="0" w:name="_GoBack"/>
      <w:bookmarkEnd w:id="0"/>
      <w:r>
        <w:rPr>
          <w:rFonts w:hint="eastAsia" w:ascii="仿宋_GB2312" w:eastAsia="仿宋_GB2312"/>
          <w:sz w:val="32"/>
          <w:szCs w:val="32"/>
          <w:lang w:eastAsia="zh-CN"/>
        </w:rPr>
        <w:t>围绕</w:t>
      </w:r>
      <w:r>
        <w:rPr>
          <w:rFonts w:hint="eastAsia" w:ascii="仿宋_GB2312" w:eastAsia="仿宋_GB2312"/>
          <w:sz w:val="32"/>
          <w:szCs w:val="32"/>
        </w:rPr>
        <w:t>政务服务2.0</w:t>
      </w:r>
      <w:r>
        <w:rPr>
          <w:rFonts w:hint="eastAsia" w:ascii="仿宋_GB2312" w:eastAsia="仿宋_GB2312"/>
          <w:sz w:val="32"/>
          <w:szCs w:val="32"/>
          <w:lang w:eastAsia="zh-CN"/>
        </w:rPr>
        <w:t>建设</w:t>
      </w:r>
      <w:r>
        <w:rPr>
          <w:rFonts w:hint="eastAsia" w:ascii="仿宋_GB2312" w:eastAsia="仿宋_GB2312"/>
          <w:sz w:val="32"/>
          <w:szCs w:val="32"/>
        </w:rPr>
        <w:t>，</w:t>
      </w:r>
      <w:r>
        <w:rPr>
          <w:rFonts w:hint="eastAsia" w:ascii="仿宋_GB2312" w:eastAsia="仿宋_GB2312"/>
          <w:sz w:val="32"/>
          <w:szCs w:val="32"/>
          <w:lang w:val="en-US" w:eastAsia="zh-CN"/>
        </w:rPr>
        <w:t>打造镇海政务“e窗通”</w:t>
      </w:r>
      <w:r>
        <w:rPr>
          <w:rFonts w:hint="eastAsia" w:ascii="仿宋_GB2312" w:eastAsia="仿宋_GB2312"/>
          <w:sz w:val="32"/>
          <w:szCs w:val="32"/>
        </w:rPr>
        <w:t>，不断深化“全面数字化”改革</w:t>
      </w:r>
      <w:r>
        <w:rPr>
          <w:rFonts w:hint="eastAsia" w:ascii="仿宋_GB2312" w:eastAsia="仿宋_GB2312"/>
          <w:sz w:val="32"/>
          <w:szCs w:val="32"/>
          <w:lang w:eastAsia="zh-CN"/>
        </w:rPr>
        <w:t>的相关政策。</w:t>
      </w:r>
      <w:r>
        <w:rPr>
          <w:rFonts w:hint="eastAsia" w:ascii="仿宋_GB2312" w:eastAsia="仿宋_GB2312"/>
          <w:sz w:val="32"/>
          <w:szCs w:val="32"/>
        </w:rPr>
        <w:t>抓实扩宽各窗口、各科室政务信息公开范围</w:t>
      </w:r>
      <w:r>
        <w:rPr>
          <w:rFonts w:hint="eastAsia" w:ascii="仿宋_GB2312" w:eastAsia="仿宋_GB2312"/>
          <w:sz w:val="32"/>
          <w:szCs w:val="32"/>
          <w:lang w:eastAsia="zh-CN"/>
        </w:rPr>
        <w:t>，对营商环境专栏、</w:t>
      </w:r>
      <w:r>
        <w:rPr>
          <w:rFonts w:hint="eastAsia" w:ascii="仿宋_GB2312" w:eastAsia="仿宋_GB2312"/>
          <w:sz w:val="32"/>
          <w:szCs w:val="32"/>
          <w:lang w:val="en-US" w:eastAsia="zh-CN"/>
        </w:rPr>
        <w:t>基层公开领域专栏等相关栏目信息进行及时公开。</w:t>
      </w:r>
      <w:r>
        <w:rPr>
          <w:rFonts w:hint="eastAsia" w:ascii="仿宋_GB2312" w:eastAsia="仿宋_GB2312"/>
          <w:sz w:val="32"/>
          <w:szCs w:val="32"/>
          <w:highlight w:val="none"/>
          <w:lang w:eastAsia="zh-CN"/>
        </w:rPr>
        <w:t>在之前政务大厅设有</w:t>
      </w:r>
      <w:r>
        <w:rPr>
          <w:rFonts w:hint="eastAsia" w:ascii="仿宋_GB2312" w:eastAsia="仿宋_GB2312"/>
          <w:sz w:val="32"/>
          <w:szCs w:val="32"/>
          <w:highlight w:val="none"/>
        </w:rPr>
        <w:t>“互联网+政务服务”体验区</w:t>
      </w:r>
      <w:r>
        <w:rPr>
          <w:rFonts w:hint="eastAsia" w:ascii="仿宋_GB2312" w:eastAsia="仿宋_GB2312"/>
          <w:sz w:val="32"/>
          <w:szCs w:val="32"/>
          <w:highlight w:val="none"/>
          <w:lang w:eastAsia="zh-CN"/>
        </w:rPr>
        <w:t>的基础上今年我办新增政务公开规范专区</w:t>
      </w:r>
      <w:r>
        <w:rPr>
          <w:rFonts w:hint="eastAsia" w:ascii="仿宋_GB2312" w:eastAsia="仿宋_GB2312"/>
          <w:sz w:val="32"/>
          <w:szCs w:val="32"/>
          <w:highlight w:val="none"/>
        </w:rPr>
        <w:t>。</w:t>
      </w:r>
      <w:r>
        <w:rPr>
          <w:rFonts w:hint="eastAsia" w:ascii="仿宋_GB2312" w:eastAsia="仿宋_GB2312"/>
          <w:sz w:val="32"/>
          <w:szCs w:val="32"/>
        </w:rPr>
        <w:t>不断加强</w:t>
      </w:r>
      <w:r>
        <w:rPr>
          <w:rFonts w:hint="eastAsia" w:ascii="仿宋_GB2312" w:eastAsia="仿宋_GB2312"/>
          <w:sz w:val="32"/>
          <w:szCs w:val="32"/>
          <w:lang w:eastAsia="zh-CN"/>
        </w:rPr>
        <w:t>规范</w:t>
      </w:r>
      <w:r>
        <w:rPr>
          <w:rFonts w:hint="eastAsia" w:ascii="仿宋_GB2312" w:eastAsia="仿宋_GB2312"/>
          <w:sz w:val="32"/>
          <w:szCs w:val="32"/>
        </w:rPr>
        <w:t>信息公开工作的各项制度建设</w:t>
      </w:r>
      <w:r>
        <w:rPr>
          <w:rFonts w:hint="eastAsia" w:ascii="仿宋_GB2312" w:eastAsia="仿宋_GB2312"/>
          <w:sz w:val="32"/>
          <w:szCs w:val="32"/>
          <w:lang w:eastAsia="zh-CN"/>
        </w:rPr>
        <w:t>，</w:t>
      </w:r>
      <w:r>
        <w:rPr>
          <w:rFonts w:hint="eastAsia" w:ascii="仿宋_GB2312" w:eastAsia="仿宋_GB2312"/>
          <w:sz w:val="32"/>
          <w:szCs w:val="32"/>
        </w:rPr>
        <w:t>深化公开内容、规范公开载体形式。</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楷体" w:hAnsi="楷体" w:eastAsia="楷体"/>
          <w:sz w:val="32"/>
          <w:szCs w:val="32"/>
        </w:rPr>
      </w:pPr>
      <w:r>
        <w:rPr>
          <w:rFonts w:hint="eastAsia" w:ascii="楷体" w:hAnsi="楷体" w:eastAsia="楷体"/>
          <w:sz w:val="32"/>
          <w:szCs w:val="32"/>
        </w:rPr>
        <w:t xml:space="preserve">    (一)主动公开情况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z w:val="32"/>
          <w:szCs w:val="32"/>
          <w:highlight w:val="yellow"/>
          <w:lang w:eastAsia="zh-CN"/>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年本单位主动公开政府信息</w:t>
      </w:r>
      <w:r>
        <w:rPr>
          <w:rFonts w:hint="eastAsia" w:ascii="仿宋_GB2312" w:eastAsia="仿宋_GB2312"/>
          <w:sz w:val="32"/>
          <w:szCs w:val="32"/>
          <w:lang w:val="en-US" w:eastAsia="zh-CN"/>
        </w:rPr>
        <w:t>1112</w:t>
      </w:r>
      <w:r>
        <w:rPr>
          <w:rFonts w:hint="eastAsia" w:ascii="仿宋_GB2312" w:eastAsia="仿宋_GB2312"/>
          <w:sz w:val="32"/>
          <w:szCs w:val="32"/>
        </w:rPr>
        <w:t>条，政府网站公开</w:t>
      </w:r>
      <w:r>
        <w:rPr>
          <w:rFonts w:hint="eastAsia" w:ascii="仿宋_GB2312" w:eastAsia="仿宋_GB2312"/>
          <w:sz w:val="32"/>
          <w:szCs w:val="32"/>
          <w:lang w:val="en-US" w:eastAsia="zh-CN"/>
        </w:rPr>
        <w:t>100</w:t>
      </w:r>
      <w:r>
        <w:rPr>
          <w:rFonts w:hint="eastAsia" w:ascii="仿宋_GB2312" w:eastAsia="仿宋_GB2312"/>
          <w:sz w:val="32"/>
          <w:szCs w:val="32"/>
        </w:rPr>
        <w:t>条，政务微博、微信公开</w:t>
      </w:r>
      <w:r>
        <w:rPr>
          <w:rFonts w:hint="eastAsia" w:ascii="仿宋_GB2312" w:eastAsia="仿宋_GB2312"/>
          <w:sz w:val="32"/>
          <w:szCs w:val="32"/>
          <w:lang w:val="en-US" w:eastAsia="zh-CN"/>
        </w:rPr>
        <w:t>73</w:t>
      </w:r>
      <w:r>
        <w:rPr>
          <w:rFonts w:hint="eastAsia" w:ascii="仿宋_GB2312" w:eastAsia="仿宋_GB2312"/>
          <w:sz w:val="32"/>
          <w:szCs w:val="32"/>
        </w:rPr>
        <w:t>条</w:t>
      </w:r>
      <w:r>
        <w:rPr>
          <w:rFonts w:hint="eastAsia" w:ascii="仿宋_GB2312" w:eastAsia="仿宋_GB2312"/>
          <w:sz w:val="32"/>
          <w:szCs w:val="32"/>
          <w:lang w:eastAsia="zh-CN"/>
        </w:rPr>
        <w:t>，其他方式公开政府信息</w:t>
      </w:r>
      <w:r>
        <w:rPr>
          <w:rFonts w:hint="eastAsia" w:ascii="仿宋_GB2312" w:eastAsia="仿宋_GB2312"/>
          <w:sz w:val="32"/>
          <w:szCs w:val="32"/>
          <w:lang w:val="en-US" w:eastAsia="zh-CN"/>
        </w:rPr>
        <w:t>1012条（宁波市公共资源交易网</w:t>
      </w:r>
      <w:r>
        <w:rPr>
          <w:rFonts w:hint="eastAsia" w:ascii="仿宋_GB2312" w:eastAsia="仿宋_GB2312"/>
          <w:sz w:val="32"/>
          <w:szCs w:val="32"/>
          <w:lang w:eastAsia="zh-CN"/>
        </w:rPr>
        <w:t>（</w:t>
      </w:r>
      <w:r>
        <w:rPr>
          <w:rFonts w:hint="eastAsia" w:ascii="仿宋_GB2312" w:eastAsia="仿宋_GB2312"/>
          <w:sz w:val="32"/>
          <w:szCs w:val="32"/>
          <w:lang w:val="en-US" w:eastAsia="zh-CN"/>
        </w:rPr>
        <w:t>镇海区分网）</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楷体" w:hAnsi="楷体" w:eastAsia="楷体"/>
          <w:sz w:val="32"/>
          <w:szCs w:val="32"/>
        </w:rPr>
      </w:pPr>
      <w:r>
        <w:rPr>
          <w:rFonts w:hint="eastAsia" w:ascii="楷体" w:hAnsi="楷体" w:eastAsia="楷体"/>
          <w:sz w:val="32"/>
          <w:szCs w:val="32"/>
        </w:rPr>
        <w:t xml:space="preserve">    (二)依申请公开情况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年本单位未发生依申请公开情况。无因政府信息公开引起的行政复议或诉讼。</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楷体" w:hAnsi="楷体" w:eastAsia="楷体"/>
          <w:sz w:val="32"/>
          <w:szCs w:val="32"/>
        </w:rPr>
      </w:pPr>
      <w:r>
        <w:rPr>
          <w:rFonts w:hint="eastAsia" w:ascii="楷体" w:hAnsi="楷体" w:eastAsia="楷体"/>
          <w:sz w:val="32"/>
          <w:szCs w:val="32"/>
        </w:rPr>
        <w:t xml:space="preserve">    (三)政务信息管理情况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进一步加强信息公开工作，严格按照信息公开范围和保密审查制度，对拟公开的信息坚持“先审查、后公开”和“一事一审”原则，严格落实信息公开保密制度，做到“上网信息不涉密、涉密信息不上网”。</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楷体" w:hAnsi="楷体" w:eastAsia="楷体"/>
          <w:sz w:val="32"/>
          <w:szCs w:val="32"/>
        </w:rPr>
      </w:pPr>
      <w:r>
        <w:rPr>
          <w:rFonts w:hint="eastAsia" w:ascii="楷体" w:hAnsi="楷体" w:eastAsia="楷体"/>
          <w:sz w:val="32"/>
          <w:szCs w:val="32"/>
        </w:rPr>
        <w:t xml:space="preserve">    (四)政府信息公开平台建设情况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z w:val="32"/>
          <w:szCs w:val="32"/>
          <w:highlight w:val="none"/>
        </w:rPr>
      </w:pPr>
      <w:r>
        <w:rPr>
          <w:rFonts w:hint="eastAsia" w:ascii="仿宋_GB2312" w:eastAsia="仿宋_GB2312"/>
          <w:sz w:val="32"/>
          <w:szCs w:val="32"/>
        </w:rPr>
        <w:t xml:space="preserve">    今年我办及时调整信息公开指南、公开制度等，结合办组织人事调整的实际、更新政务信息公开</w:t>
      </w:r>
      <w:r>
        <w:rPr>
          <w:rFonts w:hint="eastAsia" w:ascii="仿宋_GB2312" w:eastAsia="仿宋_GB2312"/>
          <w:sz w:val="32"/>
          <w:szCs w:val="32"/>
          <w:lang w:eastAsia="zh-CN"/>
        </w:rPr>
        <w:t>相关</w:t>
      </w:r>
      <w:r>
        <w:rPr>
          <w:rFonts w:hint="eastAsia" w:ascii="仿宋_GB2312" w:eastAsia="仿宋_GB2312"/>
          <w:sz w:val="32"/>
          <w:szCs w:val="32"/>
        </w:rPr>
        <w:t>内容</w:t>
      </w:r>
      <w:r>
        <w:rPr>
          <w:rFonts w:hint="eastAsia" w:ascii="仿宋_GB2312" w:eastAsia="仿宋_GB2312"/>
          <w:sz w:val="32"/>
          <w:szCs w:val="32"/>
          <w:highlight w:val="none"/>
        </w:rPr>
        <w:t>。</w:t>
      </w:r>
      <w:r>
        <w:rPr>
          <w:rFonts w:hint="eastAsia" w:ascii="仿宋_GB2312" w:eastAsia="仿宋_GB2312"/>
          <w:sz w:val="32"/>
          <w:szCs w:val="32"/>
        </w:rPr>
        <w:t>发布政务服务2.0建设、打造镇海政务“e窗通”等相关政务信息</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政务大厅设有</w:t>
      </w:r>
      <w:r>
        <w:rPr>
          <w:rFonts w:hint="eastAsia" w:ascii="仿宋_GB2312" w:eastAsia="仿宋_GB2312"/>
          <w:sz w:val="32"/>
          <w:szCs w:val="32"/>
          <w:highlight w:val="none"/>
        </w:rPr>
        <w:t>“互联网+政务服务”体验区</w:t>
      </w:r>
      <w:r>
        <w:rPr>
          <w:rFonts w:hint="eastAsia" w:ascii="仿宋_GB2312" w:eastAsia="仿宋_GB2312"/>
          <w:sz w:val="32"/>
          <w:szCs w:val="32"/>
          <w:highlight w:val="none"/>
          <w:lang w:eastAsia="zh-CN"/>
        </w:rPr>
        <w:t>，今年新增政务公开规范专区</w:t>
      </w:r>
      <w:r>
        <w:rPr>
          <w:rFonts w:hint="eastAsia" w:ascii="仿宋_GB2312" w:eastAsia="仿宋_GB2312"/>
          <w:sz w:val="32"/>
          <w:szCs w:val="32"/>
          <w:highlight w:val="none"/>
        </w:rPr>
        <w:t>进一步扩大群众知情面。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楷体" w:hAnsi="楷体" w:eastAsia="楷体"/>
          <w:sz w:val="32"/>
          <w:szCs w:val="32"/>
        </w:rPr>
      </w:pPr>
      <w:r>
        <w:rPr>
          <w:rFonts w:hint="eastAsia" w:ascii="楷体" w:hAnsi="楷体" w:eastAsia="楷体"/>
          <w:sz w:val="32"/>
          <w:szCs w:val="32"/>
        </w:rPr>
        <w:t xml:space="preserve">    (五)政务新媒体管理方面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eastAsia="仿宋_GB2312"/>
          <w:sz w:val="32"/>
          <w:szCs w:val="32"/>
          <w:highlight w:val="none"/>
          <w:lang w:val="en-US" w:eastAsia="zh-CN"/>
        </w:rPr>
      </w:pPr>
      <w:r>
        <w:rPr>
          <w:rFonts w:hint="eastAsia" w:ascii="仿宋_GB2312" w:eastAsia="仿宋_GB2312"/>
          <w:sz w:val="32"/>
          <w:szCs w:val="32"/>
        </w:rPr>
        <w:t xml:space="preserve">   </w:t>
      </w:r>
      <w:r>
        <w:rPr>
          <w:rFonts w:hint="eastAsia" w:ascii="仿宋_GB2312" w:eastAsia="仿宋_GB2312"/>
          <w:sz w:val="32"/>
          <w:szCs w:val="32"/>
          <w:highlight w:val="none"/>
        </w:rPr>
        <w:t xml:space="preserve"> </w:t>
      </w:r>
      <w:r>
        <w:rPr>
          <w:rFonts w:hint="eastAsia" w:ascii="仿宋_GB2312" w:eastAsia="仿宋_GB2312"/>
          <w:sz w:val="32"/>
          <w:szCs w:val="32"/>
          <w:highlight w:val="none"/>
          <w:lang w:val="en-US" w:eastAsia="zh-CN"/>
        </w:rPr>
        <w:t>2022年5月起本单位微博、微信公众号停用，不再对外推送信息。</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楷体" w:hAnsi="楷体" w:eastAsia="楷体"/>
          <w:sz w:val="32"/>
          <w:szCs w:val="32"/>
        </w:rPr>
      </w:pPr>
      <w:r>
        <w:rPr>
          <w:rFonts w:hint="eastAsia" w:ascii="楷体" w:hAnsi="楷体" w:eastAsia="楷体"/>
          <w:sz w:val="32"/>
          <w:szCs w:val="32"/>
        </w:rPr>
        <w:t xml:space="preserve">    (六)监督管理方面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eastAsia="仿宋_GB2312"/>
          <w:sz w:val="32"/>
          <w:szCs w:val="32"/>
        </w:rPr>
      </w:pPr>
      <w:r>
        <w:rPr>
          <w:rFonts w:hint="eastAsia" w:ascii="仿宋_GB2312" w:eastAsia="仿宋_GB2312"/>
          <w:sz w:val="32"/>
          <w:szCs w:val="32"/>
        </w:rPr>
        <w:t>成立以我办主要负责人为组长、分管领导为副组长，各科室科长为成员的政府信息公开领导小组，领导小组办公室下设我办综合监管科，每条公开信息严格遵守信息公开要求，</w:t>
      </w:r>
      <w:r>
        <w:rPr>
          <w:rFonts w:hint="eastAsia" w:ascii="仿宋_GB2312" w:eastAsia="仿宋_GB2312"/>
          <w:sz w:val="32"/>
          <w:szCs w:val="32"/>
          <w:lang w:eastAsia="zh-CN"/>
        </w:rPr>
        <w:t>需</w:t>
      </w:r>
      <w:r>
        <w:rPr>
          <w:rFonts w:hint="eastAsia" w:ascii="仿宋_GB2312" w:eastAsia="仿宋_GB2312"/>
          <w:sz w:val="32"/>
          <w:szCs w:val="32"/>
        </w:rPr>
        <w:t>经</w:t>
      </w:r>
      <w:r>
        <w:rPr>
          <w:rFonts w:hint="eastAsia" w:ascii="仿宋_GB2312" w:eastAsia="仿宋_GB2312"/>
          <w:sz w:val="32"/>
          <w:szCs w:val="32"/>
          <w:lang w:eastAsia="zh-CN"/>
        </w:rPr>
        <w:t>综合监管科科长及</w:t>
      </w:r>
      <w:r>
        <w:rPr>
          <w:rFonts w:hint="eastAsia" w:ascii="仿宋_GB2312" w:eastAsia="仿宋_GB2312"/>
          <w:sz w:val="32"/>
          <w:szCs w:val="32"/>
        </w:rPr>
        <w:t>分管领导审批后在区政府信息公开网</w:t>
      </w:r>
      <w:r>
        <w:rPr>
          <w:rFonts w:hint="eastAsia" w:ascii="仿宋_GB2312" w:eastAsia="仿宋_GB2312"/>
          <w:sz w:val="32"/>
          <w:szCs w:val="32"/>
          <w:lang w:eastAsia="zh-CN"/>
        </w:rPr>
        <w:t>上进行</w:t>
      </w:r>
      <w:r>
        <w:rPr>
          <w:rFonts w:hint="eastAsia" w:ascii="仿宋_GB2312" w:eastAsia="仿宋_GB2312"/>
          <w:sz w:val="32"/>
          <w:szCs w:val="32"/>
        </w:rPr>
        <w:t>公</w:t>
      </w:r>
      <w:r>
        <w:rPr>
          <w:rFonts w:hint="eastAsia" w:ascii="仿宋_GB2312" w:eastAsia="仿宋_GB2312"/>
          <w:sz w:val="32"/>
          <w:szCs w:val="32"/>
          <w:lang w:eastAsia="zh-CN"/>
        </w:rPr>
        <w:t>开</w:t>
      </w:r>
      <w:r>
        <w:rPr>
          <w:rFonts w:hint="eastAsia" w:ascii="仿宋_GB2312" w:eastAsia="仿宋_GB2312"/>
          <w:sz w:val="32"/>
          <w:szCs w:val="32"/>
        </w:rPr>
        <w:t>，确保信息公开真实、及时、有效、安全。</w:t>
      </w:r>
    </w:p>
    <w:p>
      <w:pPr>
        <w:pStyle w:val="6"/>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ascii="黑体" w:hAnsi="黑体" w:eastAsia="黑体"/>
        </w:rPr>
      </w:pPr>
      <w:r>
        <w:rPr>
          <w:rFonts w:hint="eastAsia" w:ascii="黑体" w:hAnsi="黑体" w:eastAsia="黑体"/>
        </w:rPr>
        <w:t>二、主动公开政府信息情况</w:t>
      </w:r>
    </w:p>
    <w:tbl>
      <w:tblPr>
        <w:tblStyle w:val="7"/>
        <w:tblpPr w:leftFromText="180" w:rightFromText="180" w:vertAnchor="text" w:horzAnchor="page" w:tblpXSpec="center" w:tblpY="85"/>
        <w:tblOverlap w:val="never"/>
        <w:tblW w:w="9221" w:type="dxa"/>
        <w:tblInd w:w="0" w:type="dxa"/>
        <w:tblLayout w:type="fixed"/>
        <w:tblCellMar>
          <w:top w:w="0" w:type="dxa"/>
          <w:left w:w="0" w:type="dxa"/>
          <w:bottom w:w="0" w:type="dxa"/>
          <w:right w:w="0" w:type="dxa"/>
        </w:tblCellMar>
      </w:tblPr>
      <w:tblGrid>
        <w:gridCol w:w="1953"/>
        <w:gridCol w:w="2435"/>
        <w:gridCol w:w="2435"/>
        <w:gridCol w:w="2398"/>
      </w:tblGrid>
      <w:tr>
        <w:tblPrEx>
          <w:tblLayout w:type="fixed"/>
          <w:tblCellMar>
            <w:top w:w="0" w:type="dxa"/>
            <w:left w:w="0" w:type="dxa"/>
            <w:bottom w:w="0" w:type="dxa"/>
            <w:right w:w="0" w:type="dxa"/>
          </w:tblCellMar>
        </w:tblPrEx>
        <w:trPr>
          <w:trHeight w:val="340" w:hRule="atLeast"/>
        </w:trPr>
        <w:tc>
          <w:tcPr>
            <w:tcW w:w="9221"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0" w:lineRule="exact"/>
              <w:jc w:val="center"/>
              <w:rPr>
                <w:kern w:val="0"/>
                <w:szCs w:val="21"/>
              </w:rPr>
            </w:pPr>
            <w:r>
              <w:rPr>
                <w:rFonts w:hint="eastAsia"/>
                <w:kern w:val="0"/>
                <w:szCs w:val="21"/>
              </w:rPr>
              <w:t>第二十条第（一）项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本年废止件数</w:t>
            </w:r>
          </w:p>
        </w:tc>
        <w:tc>
          <w:tcPr>
            <w:tcW w:w="2398" w:type="dxa"/>
            <w:tcBorders>
              <w:top w:val="single" w:color="auto" w:sz="8" w:space="0"/>
              <w:left w:val="nil"/>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现行有效件数</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　0　</w:t>
            </w:r>
          </w:p>
        </w:tc>
        <w:tc>
          <w:tcPr>
            <w:tcW w:w="2435"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 0　</w:t>
            </w:r>
          </w:p>
        </w:tc>
        <w:tc>
          <w:tcPr>
            <w:tcW w:w="2398"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0</w:t>
            </w:r>
            <w:r>
              <w:rPr>
                <w:kern w:val="0"/>
                <w:szCs w:val="21"/>
              </w:rPr>
              <w:t> </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 xml:space="preserve">  0</w:t>
            </w:r>
          </w:p>
        </w:tc>
        <w:tc>
          <w:tcPr>
            <w:tcW w:w="2435"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rFonts w:eastAsia="仿宋_GB2312"/>
                <w:kern w:val="0"/>
                <w:szCs w:val="21"/>
              </w:rPr>
            </w:pPr>
            <w:r>
              <w:rPr>
                <w:rFonts w:hint="eastAsia"/>
                <w:kern w:val="0"/>
                <w:szCs w:val="21"/>
              </w:rPr>
              <w:t>0</w:t>
            </w:r>
          </w:p>
        </w:tc>
        <w:tc>
          <w:tcPr>
            <w:tcW w:w="2398"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rFonts w:eastAsia="仿宋_GB2312"/>
                <w:kern w:val="0"/>
                <w:szCs w:val="21"/>
              </w:rPr>
            </w:pPr>
            <w:r>
              <w:rPr>
                <w:rFonts w:hint="eastAsia"/>
                <w:kern w:val="0"/>
                <w:szCs w:val="21"/>
              </w:rPr>
              <w:t>0</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0" w:lineRule="exact"/>
              <w:jc w:val="center"/>
              <w:rPr>
                <w:kern w:val="0"/>
                <w:szCs w:val="21"/>
              </w:rPr>
            </w:pPr>
            <w:r>
              <w:rPr>
                <w:rFonts w:hint="eastAsia"/>
                <w:kern w:val="0"/>
                <w:szCs w:val="21"/>
              </w:rPr>
              <w:t>第二十条第（五）项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信息内容</w:t>
            </w:r>
          </w:p>
        </w:tc>
        <w:tc>
          <w:tcPr>
            <w:tcW w:w="7268" w:type="dxa"/>
            <w:gridSpan w:val="3"/>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本年处理决定数量</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行政许可</w:t>
            </w:r>
          </w:p>
        </w:tc>
        <w:tc>
          <w:tcPr>
            <w:tcW w:w="7268" w:type="dxa"/>
            <w:gridSpan w:val="3"/>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0</w:t>
            </w:r>
            <w:r>
              <w:rPr>
                <w:kern w:val="0"/>
                <w:szCs w:val="21"/>
              </w:rPr>
              <w:t> </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0" w:lineRule="exact"/>
              <w:jc w:val="center"/>
              <w:rPr>
                <w:kern w:val="0"/>
                <w:szCs w:val="21"/>
              </w:rPr>
            </w:pPr>
            <w:r>
              <w:rPr>
                <w:rFonts w:hint="eastAsia"/>
                <w:kern w:val="0"/>
                <w:szCs w:val="21"/>
              </w:rPr>
              <w:t>第二十条第（六）项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信息内容</w:t>
            </w:r>
          </w:p>
        </w:tc>
        <w:tc>
          <w:tcPr>
            <w:tcW w:w="7268" w:type="dxa"/>
            <w:gridSpan w:val="3"/>
            <w:tcBorders>
              <w:top w:val="single" w:color="auto" w:sz="8" w:space="0"/>
              <w:left w:val="nil"/>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本年处理决定数量</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行政处罚</w:t>
            </w:r>
          </w:p>
        </w:tc>
        <w:tc>
          <w:tcPr>
            <w:tcW w:w="7268" w:type="dxa"/>
            <w:gridSpan w:val="3"/>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0　</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行政强制</w:t>
            </w:r>
          </w:p>
        </w:tc>
        <w:tc>
          <w:tcPr>
            <w:tcW w:w="7268" w:type="dxa"/>
            <w:gridSpan w:val="3"/>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0　</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0" w:lineRule="exact"/>
              <w:jc w:val="center"/>
              <w:rPr>
                <w:kern w:val="0"/>
                <w:szCs w:val="21"/>
              </w:rPr>
            </w:pPr>
            <w:r>
              <w:rPr>
                <w:rFonts w:hint="eastAsia"/>
                <w:kern w:val="0"/>
                <w:szCs w:val="21"/>
              </w:rPr>
              <w:t>第二十条第（八）项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信息内容</w:t>
            </w:r>
          </w:p>
        </w:tc>
        <w:tc>
          <w:tcPr>
            <w:tcW w:w="7268" w:type="dxa"/>
            <w:gridSpan w:val="3"/>
            <w:tcBorders>
              <w:top w:val="nil"/>
              <w:left w:val="nil"/>
              <w:bottom w:val="single" w:color="auto" w:sz="8" w:space="0"/>
              <w:right w:val="single" w:color="000000" w:sz="8" w:space="0"/>
            </w:tcBorders>
            <w:tcMar>
              <w:left w:w="57" w:type="dxa"/>
              <w:right w:w="57" w:type="dxa"/>
            </w:tcMar>
            <w:vAlign w:val="center"/>
          </w:tcPr>
          <w:p>
            <w:pPr>
              <w:spacing w:line="300" w:lineRule="exact"/>
              <w:jc w:val="center"/>
              <w:rPr>
                <w:kern w:val="0"/>
                <w:szCs w:val="21"/>
              </w:rPr>
            </w:pPr>
            <w:r>
              <w:rPr>
                <w:rFonts w:hint="eastAsia"/>
                <w:kern w:val="0"/>
                <w:szCs w:val="21"/>
              </w:rPr>
              <w:t>本年收费金额（单位：万元）</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Cs w:val="21"/>
              </w:rPr>
            </w:pPr>
            <w:r>
              <w:rPr>
                <w:rFonts w:hint="eastAsia"/>
                <w:kern w:val="0"/>
                <w:szCs w:val="21"/>
              </w:rPr>
              <w:t>行政事业性收费</w:t>
            </w:r>
          </w:p>
        </w:tc>
        <w:tc>
          <w:tcPr>
            <w:tcW w:w="7268" w:type="dxa"/>
            <w:gridSpan w:val="3"/>
            <w:tcBorders>
              <w:top w:val="nil"/>
              <w:left w:val="nil"/>
              <w:bottom w:val="single" w:color="auto" w:sz="8" w:space="0"/>
              <w:right w:val="single" w:color="000000" w:sz="8" w:space="0"/>
            </w:tcBorders>
            <w:tcMar>
              <w:left w:w="57" w:type="dxa"/>
              <w:right w:w="57" w:type="dxa"/>
            </w:tcMar>
            <w:vAlign w:val="center"/>
          </w:tcPr>
          <w:p>
            <w:pPr>
              <w:spacing w:line="300" w:lineRule="exact"/>
              <w:jc w:val="center"/>
              <w:rPr>
                <w:rFonts w:eastAsia="仿宋_GB2312"/>
                <w:kern w:val="0"/>
                <w:szCs w:val="21"/>
              </w:rPr>
            </w:pPr>
            <w:r>
              <w:rPr>
                <w:rFonts w:hint="eastAsia"/>
                <w:kern w:val="0"/>
                <w:szCs w:val="21"/>
              </w:rPr>
              <w:t>0</w:t>
            </w:r>
          </w:p>
        </w:tc>
      </w:tr>
    </w:tbl>
    <w:p>
      <w:pPr>
        <w:pStyle w:val="6"/>
        <w:spacing w:line="560" w:lineRule="exact"/>
        <w:ind w:firstLine="640" w:firstLineChars="200"/>
        <w:jc w:val="both"/>
        <w:rPr>
          <w:rFonts w:ascii="黑体" w:hAnsi="黑体" w:eastAsia="黑体"/>
        </w:rPr>
      </w:pPr>
      <w:r>
        <w:rPr>
          <w:rFonts w:hint="eastAsia" w:ascii="黑体" w:hAnsi="黑体" w:eastAsia="黑体"/>
        </w:rPr>
        <w:t>三、收到和处理政府信息公开申请情况</w:t>
      </w:r>
    </w:p>
    <w:tbl>
      <w:tblPr>
        <w:tblStyle w:val="7"/>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5"/>
        <w:gridCol w:w="959"/>
        <w:gridCol w:w="2630"/>
        <w:gridCol w:w="603"/>
        <w:gridCol w:w="753"/>
        <w:gridCol w:w="714"/>
        <w:gridCol w:w="714"/>
        <w:gridCol w:w="714"/>
        <w:gridCol w:w="714"/>
        <w:gridCol w:w="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5" w:hRule="atLeast"/>
        </w:trPr>
        <w:tc>
          <w:tcPr>
            <w:tcW w:w="4374" w:type="dxa"/>
            <w:gridSpan w:val="3"/>
            <w:vMerge w:val="restart"/>
            <w:tcMar>
              <w:left w:w="108" w:type="dxa"/>
              <w:right w:w="108" w:type="dxa"/>
            </w:tcMar>
            <w:vAlign w:val="center"/>
          </w:tcPr>
          <w:p>
            <w:pPr>
              <w:spacing w:line="240" w:lineRule="exact"/>
              <w:jc w:val="center"/>
              <w:rPr>
                <w:kern w:val="0"/>
                <w:szCs w:val="21"/>
              </w:rPr>
            </w:pPr>
            <w:r>
              <w:rPr>
                <w:kern w:val="0"/>
                <w:szCs w:val="21"/>
              </w:rPr>
              <w:t>（本列数据的勾稽关系为：第一项加第二项之和，等于第三项加第四项之和）</w:t>
            </w:r>
          </w:p>
        </w:tc>
        <w:tc>
          <w:tcPr>
            <w:tcW w:w="4913" w:type="dxa"/>
            <w:gridSpan w:val="7"/>
            <w:tcMar>
              <w:left w:w="57" w:type="dxa"/>
              <w:right w:w="57" w:type="dxa"/>
            </w:tcMar>
            <w:vAlign w:val="center"/>
          </w:tcPr>
          <w:p>
            <w:pPr>
              <w:spacing w:line="240" w:lineRule="exact"/>
              <w:jc w:val="center"/>
              <w:rPr>
                <w:kern w:val="0"/>
                <w:szCs w:val="21"/>
              </w:rPr>
            </w:pPr>
            <w:r>
              <w:rPr>
                <w:rFonts w:hint="eastAsia"/>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5" w:hRule="atLeast"/>
        </w:trPr>
        <w:tc>
          <w:tcPr>
            <w:tcW w:w="4374" w:type="dxa"/>
            <w:gridSpan w:val="3"/>
            <w:vMerge w:val="continue"/>
            <w:tcMar>
              <w:left w:w="108" w:type="dxa"/>
              <w:right w:w="108" w:type="dxa"/>
            </w:tcMar>
            <w:vAlign w:val="center"/>
          </w:tcPr>
          <w:p>
            <w:pPr>
              <w:spacing w:line="240" w:lineRule="exact"/>
              <w:jc w:val="center"/>
              <w:rPr>
                <w:kern w:val="0"/>
                <w:szCs w:val="21"/>
              </w:rPr>
            </w:pPr>
          </w:p>
        </w:tc>
        <w:tc>
          <w:tcPr>
            <w:tcW w:w="603" w:type="dxa"/>
            <w:vMerge w:val="restart"/>
            <w:tcMar>
              <w:left w:w="57" w:type="dxa"/>
              <w:right w:w="57" w:type="dxa"/>
            </w:tcMar>
            <w:vAlign w:val="center"/>
          </w:tcPr>
          <w:p>
            <w:pPr>
              <w:spacing w:line="240" w:lineRule="exact"/>
              <w:jc w:val="center"/>
              <w:rPr>
                <w:kern w:val="0"/>
                <w:szCs w:val="21"/>
              </w:rPr>
            </w:pPr>
            <w:r>
              <w:rPr>
                <w:rFonts w:hint="eastAsia"/>
                <w:kern w:val="0"/>
                <w:szCs w:val="21"/>
              </w:rPr>
              <w:t>自然人</w:t>
            </w:r>
          </w:p>
        </w:tc>
        <w:tc>
          <w:tcPr>
            <w:tcW w:w="3609" w:type="dxa"/>
            <w:gridSpan w:val="5"/>
            <w:tcMar>
              <w:left w:w="108" w:type="dxa"/>
              <w:right w:w="108" w:type="dxa"/>
            </w:tcMar>
            <w:vAlign w:val="center"/>
          </w:tcPr>
          <w:p>
            <w:pPr>
              <w:spacing w:line="240" w:lineRule="exact"/>
              <w:jc w:val="center"/>
              <w:rPr>
                <w:kern w:val="0"/>
                <w:szCs w:val="21"/>
              </w:rPr>
            </w:pPr>
            <w:r>
              <w:rPr>
                <w:rFonts w:hint="eastAsia"/>
                <w:kern w:val="0"/>
                <w:szCs w:val="21"/>
              </w:rPr>
              <w:t>法人或其他组织</w:t>
            </w:r>
          </w:p>
        </w:tc>
        <w:tc>
          <w:tcPr>
            <w:tcW w:w="701" w:type="dxa"/>
            <w:vMerge w:val="restart"/>
            <w:tcMar>
              <w:left w:w="108" w:type="dxa"/>
              <w:right w:w="108" w:type="dxa"/>
            </w:tcMar>
            <w:vAlign w:val="center"/>
          </w:tcPr>
          <w:p>
            <w:pPr>
              <w:spacing w:line="240" w:lineRule="exact"/>
              <w:jc w:val="center"/>
              <w:rPr>
                <w:kern w:val="0"/>
                <w:szCs w:val="21"/>
              </w:rPr>
            </w:pPr>
            <w:r>
              <w:rPr>
                <w:rFonts w:hint="eastAsia"/>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50" w:hRule="atLeast"/>
        </w:trPr>
        <w:tc>
          <w:tcPr>
            <w:tcW w:w="4374" w:type="dxa"/>
            <w:gridSpan w:val="3"/>
            <w:vMerge w:val="continue"/>
            <w:tcMar>
              <w:left w:w="108" w:type="dxa"/>
              <w:right w:w="108" w:type="dxa"/>
            </w:tcMar>
            <w:vAlign w:val="center"/>
          </w:tcPr>
          <w:p>
            <w:pPr>
              <w:spacing w:line="240" w:lineRule="exact"/>
              <w:jc w:val="center"/>
              <w:rPr>
                <w:kern w:val="0"/>
                <w:szCs w:val="21"/>
              </w:rPr>
            </w:pPr>
          </w:p>
        </w:tc>
        <w:tc>
          <w:tcPr>
            <w:tcW w:w="603" w:type="dxa"/>
            <w:vMerge w:val="continue"/>
            <w:tcMar>
              <w:left w:w="57" w:type="dxa"/>
              <w:right w:w="57" w:type="dxa"/>
            </w:tcMar>
            <w:vAlign w:val="center"/>
          </w:tcPr>
          <w:p>
            <w:pPr>
              <w:spacing w:line="240" w:lineRule="exact"/>
              <w:jc w:val="center"/>
              <w:rPr>
                <w:kern w:val="0"/>
                <w:szCs w:val="21"/>
              </w:rPr>
            </w:pPr>
          </w:p>
        </w:tc>
        <w:tc>
          <w:tcPr>
            <w:tcW w:w="753" w:type="dxa"/>
            <w:tcMar>
              <w:left w:w="108" w:type="dxa"/>
              <w:right w:w="108" w:type="dxa"/>
            </w:tcMar>
            <w:vAlign w:val="center"/>
          </w:tcPr>
          <w:p>
            <w:pPr>
              <w:spacing w:line="240" w:lineRule="exact"/>
              <w:jc w:val="center"/>
              <w:rPr>
                <w:kern w:val="0"/>
                <w:szCs w:val="21"/>
              </w:rPr>
            </w:pPr>
            <w:r>
              <w:rPr>
                <w:rFonts w:hint="eastAsia"/>
                <w:kern w:val="0"/>
                <w:szCs w:val="21"/>
              </w:rPr>
              <w:t>商业</w:t>
            </w:r>
          </w:p>
          <w:p>
            <w:pPr>
              <w:spacing w:line="240" w:lineRule="exact"/>
              <w:jc w:val="center"/>
              <w:rPr>
                <w:kern w:val="0"/>
                <w:szCs w:val="21"/>
              </w:rPr>
            </w:pPr>
            <w:r>
              <w:rPr>
                <w:rFonts w:hint="eastAsia"/>
                <w:kern w:val="0"/>
                <w:szCs w:val="21"/>
              </w:rPr>
              <w:t>企业</w:t>
            </w:r>
          </w:p>
        </w:tc>
        <w:tc>
          <w:tcPr>
            <w:tcW w:w="714" w:type="dxa"/>
            <w:tcMar>
              <w:left w:w="108" w:type="dxa"/>
              <w:right w:w="108" w:type="dxa"/>
            </w:tcMar>
            <w:vAlign w:val="center"/>
          </w:tcPr>
          <w:p>
            <w:pPr>
              <w:spacing w:line="240" w:lineRule="exact"/>
              <w:jc w:val="center"/>
              <w:rPr>
                <w:kern w:val="0"/>
                <w:szCs w:val="21"/>
              </w:rPr>
            </w:pPr>
            <w:r>
              <w:rPr>
                <w:rFonts w:hint="eastAsia"/>
                <w:kern w:val="0"/>
                <w:szCs w:val="21"/>
              </w:rPr>
              <w:t>科研</w:t>
            </w:r>
          </w:p>
          <w:p>
            <w:pPr>
              <w:spacing w:line="240" w:lineRule="exact"/>
              <w:jc w:val="center"/>
              <w:rPr>
                <w:kern w:val="0"/>
                <w:szCs w:val="21"/>
              </w:rPr>
            </w:pPr>
            <w:r>
              <w:rPr>
                <w:rFonts w:hint="eastAsia"/>
                <w:kern w:val="0"/>
                <w:szCs w:val="21"/>
              </w:rPr>
              <w:t>机构</w:t>
            </w:r>
          </w:p>
        </w:tc>
        <w:tc>
          <w:tcPr>
            <w:tcW w:w="714" w:type="dxa"/>
            <w:tcMar>
              <w:left w:w="108" w:type="dxa"/>
              <w:right w:w="108" w:type="dxa"/>
            </w:tcMar>
            <w:vAlign w:val="center"/>
          </w:tcPr>
          <w:p>
            <w:pPr>
              <w:spacing w:line="240" w:lineRule="exact"/>
              <w:jc w:val="center"/>
              <w:rPr>
                <w:kern w:val="0"/>
                <w:szCs w:val="21"/>
              </w:rPr>
            </w:pPr>
            <w:r>
              <w:rPr>
                <w:rFonts w:hint="eastAsia"/>
                <w:kern w:val="0"/>
                <w:szCs w:val="21"/>
              </w:rPr>
              <w:t>社会公益组织</w:t>
            </w:r>
          </w:p>
        </w:tc>
        <w:tc>
          <w:tcPr>
            <w:tcW w:w="714" w:type="dxa"/>
            <w:tcMar>
              <w:left w:w="108" w:type="dxa"/>
              <w:right w:w="108" w:type="dxa"/>
            </w:tcMar>
            <w:vAlign w:val="center"/>
          </w:tcPr>
          <w:p>
            <w:pPr>
              <w:spacing w:line="240" w:lineRule="exact"/>
              <w:jc w:val="center"/>
              <w:rPr>
                <w:kern w:val="0"/>
                <w:szCs w:val="21"/>
              </w:rPr>
            </w:pPr>
            <w:r>
              <w:rPr>
                <w:rFonts w:hint="eastAsia"/>
                <w:kern w:val="0"/>
                <w:szCs w:val="21"/>
              </w:rPr>
              <w:t>法律服务机构</w:t>
            </w:r>
          </w:p>
        </w:tc>
        <w:tc>
          <w:tcPr>
            <w:tcW w:w="714" w:type="dxa"/>
            <w:tcMar>
              <w:left w:w="108" w:type="dxa"/>
              <w:right w:w="108" w:type="dxa"/>
            </w:tcMar>
            <w:vAlign w:val="center"/>
          </w:tcPr>
          <w:p>
            <w:pPr>
              <w:spacing w:line="240" w:lineRule="exact"/>
              <w:jc w:val="center"/>
              <w:rPr>
                <w:kern w:val="0"/>
                <w:szCs w:val="21"/>
              </w:rPr>
            </w:pPr>
            <w:r>
              <w:rPr>
                <w:rFonts w:hint="eastAsia"/>
                <w:kern w:val="0"/>
                <w:szCs w:val="21"/>
              </w:rPr>
              <w:t>其他</w:t>
            </w:r>
          </w:p>
        </w:tc>
        <w:tc>
          <w:tcPr>
            <w:tcW w:w="701" w:type="dxa"/>
            <w:vMerge w:val="continue"/>
            <w:tcMar>
              <w:left w:w="108" w:type="dxa"/>
              <w:right w:w="108" w:type="dxa"/>
            </w:tcMar>
            <w:vAlign w:val="center"/>
          </w:tcPr>
          <w:p>
            <w:pPr>
              <w:spacing w:line="240" w:lineRule="exact"/>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374" w:type="dxa"/>
            <w:gridSpan w:val="3"/>
            <w:tcMar>
              <w:left w:w="57" w:type="dxa"/>
              <w:right w:w="57" w:type="dxa"/>
            </w:tcMar>
            <w:vAlign w:val="center"/>
          </w:tcPr>
          <w:p>
            <w:pPr>
              <w:spacing w:line="240" w:lineRule="exact"/>
              <w:jc w:val="center"/>
              <w:rPr>
                <w:kern w:val="0"/>
                <w:szCs w:val="21"/>
              </w:rPr>
            </w:pPr>
            <w:r>
              <w:rPr>
                <w:rFonts w:hint="eastAsia"/>
                <w:kern w:val="0"/>
                <w:szCs w:val="21"/>
              </w:rPr>
              <w:t>一、本年新收政府信息公开申请数量</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rFonts w:eastAsia="仿宋_GB2312"/>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rFonts w:eastAsia="仿宋_GB2312"/>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rFonts w:eastAsia="仿宋_GB2312"/>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rFonts w:eastAsia="仿宋_GB2312"/>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rFonts w:eastAsia="仿宋_GB2312"/>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rFonts w:eastAsia="仿宋_GB2312"/>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374" w:type="dxa"/>
            <w:gridSpan w:val="3"/>
            <w:tcMar>
              <w:left w:w="57" w:type="dxa"/>
              <w:right w:w="57" w:type="dxa"/>
            </w:tcMar>
            <w:vAlign w:val="center"/>
          </w:tcPr>
          <w:p>
            <w:pPr>
              <w:spacing w:line="240" w:lineRule="exact"/>
              <w:jc w:val="center"/>
              <w:rPr>
                <w:kern w:val="0"/>
                <w:szCs w:val="21"/>
              </w:rPr>
            </w:pPr>
            <w:r>
              <w:rPr>
                <w:rFonts w:hint="eastAsia"/>
                <w:kern w:val="0"/>
                <w:szCs w:val="21"/>
              </w:rPr>
              <w:t>二、上年结转政府信息公开申请数量</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9" w:hRule="atLeast"/>
        </w:trPr>
        <w:tc>
          <w:tcPr>
            <w:tcW w:w="785" w:type="dxa"/>
            <w:vMerge w:val="restart"/>
            <w:tcMar>
              <w:left w:w="57" w:type="dxa"/>
              <w:right w:w="57" w:type="dxa"/>
            </w:tcMar>
            <w:vAlign w:val="center"/>
          </w:tcPr>
          <w:p>
            <w:pPr>
              <w:spacing w:line="240" w:lineRule="exact"/>
              <w:jc w:val="center"/>
              <w:rPr>
                <w:kern w:val="0"/>
                <w:szCs w:val="21"/>
              </w:rPr>
            </w:pPr>
            <w:r>
              <w:rPr>
                <w:rFonts w:hint="eastAsia"/>
                <w:kern w:val="0"/>
                <w:szCs w:val="21"/>
              </w:rPr>
              <w:t>三、本年度办理结果</w:t>
            </w:r>
          </w:p>
        </w:tc>
        <w:tc>
          <w:tcPr>
            <w:tcW w:w="3589" w:type="dxa"/>
            <w:gridSpan w:val="2"/>
            <w:tcMar>
              <w:left w:w="57" w:type="dxa"/>
              <w:right w:w="57" w:type="dxa"/>
            </w:tcMar>
            <w:vAlign w:val="center"/>
          </w:tcPr>
          <w:p>
            <w:pPr>
              <w:spacing w:line="240" w:lineRule="exact"/>
              <w:jc w:val="center"/>
              <w:rPr>
                <w:kern w:val="0"/>
                <w:szCs w:val="21"/>
              </w:rPr>
            </w:pPr>
            <w:r>
              <w:rPr>
                <w:rFonts w:hint="eastAsia"/>
                <w:kern w:val="0"/>
                <w:szCs w:val="21"/>
              </w:rPr>
              <w:t>（一）予以公开</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0" w:hRule="atLeast"/>
        </w:trPr>
        <w:tc>
          <w:tcPr>
            <w:tcW w:w="785" w:type="dxa"/>
            <w:vMerge w:val="continue"/>
            <w:tcMar>
              <w:left w:w="57" w:type="dxa"/>
              <w:right w:w="57" w:type="dxa"/>
            </w:tcMar>
            <w:vAlign w:val="center"/>
          </w:tcPr>
          <w:p>
            <w:pPr>
              <w:spacing w:line="240" w:lineRule="exact"/>
              <w:jc w:val="center"/>
              <w:rPr>
                <w:kern w:val="0"/>
                <w:szCs w:val="21"/>
              </w:rPr>
            </w:pPr>
          </w:p>
        </w:tc>
        <w:tc>
          <w:tcPr>
            <w:tcW w:w="3589" w:type="dxa"/>
            <w:gridSpan w:val="2"/>
            <w:tcMar>
              <w:left w:w="57" w:type="dxa"/>
              <w:right w:w="57" w:type="dxa"/>
            </w:tcMar>
            <w:vAlign w:val="center"/>
          </w:tcPr>
          <w:p>
            <w:pPr>
              <w:spacing w:line="240" w:lineRule="exact"/>
              <w:jc w:val="center"/>
              <w:rPr>
                <w:kern w:val="0"/>
                <w:szCs w:val="21"/>
              </w:rPr>
            </w:pPr>
            <w:r>
              <w:rPr>
                <w:rFonts w:hint="eastAsia"/>
                <w:kern w:val="0"/>
                <w:szCs w:val="21"/>
              </w:rPr>
              <w:t>（二）部分公开（区分处理的，只计这一情形，不计其他情形）</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5" w:hRule="atLeast"/>
        </w:trPr>
        <w:tc>
          <w:tcPr>
            <w:tcW w:w="785" w:type="dxa"/>
            <w:vMerge w:val="continue"/>
            <w:tcMar>
              <w:left w:w="57" w:type="dxa"/>
              <w:right w:w="57" w:type="dxa"/>
            </w:tcMar>
            <w:vAlign w:val="center"/>
          </w:tcPr>
          <w:p>
            <w:pPr>
              <w:spacing w:line="240" w:lineRule="exact"/>
              <w:jc w:val="center"/>
              <w:rPr>
                <w:kern w:val="0"/>
                <w:szCs w:val="21"/>
              </w:rPr>
            </w:pPr>
          </w:p>
        </w:tc>
        <w:tc>
          <w:tcPr>
            <w:tcW w:w="959" w:type="dxa"/>
            <w:vMerge w:val="restart"/>
            <w:tcMar>
              <w:left w:w="57" w:type="dxa"/>
              <w:right w:w="57" w:type="dxa"/>
            </w:tcMar>
            <w:vAlign w:val="center"/>
          </w:tcPr>
          <w:p>
            <w:pPr>
              <w:spacing w:line="240" w:lineRule="exact"/>
              <w:jc w:val="center"/>
              <w:rPr>
                <w:kern w:val="0"/>
                <w:szCs w:val="21"/>
              </w:rPr>
            </w:pPr>
            <w:r>
              <w:rPr>
                <w:rFonts w:hint="eastAsia"/>
                <w:kern w:val="0"/>
                <w:szCs w:val="21"/>
              </w:rPr>
              <w:t>（三）</w:t>
            </w:r>
          </w:p>
          <w:p>
            <w:pPr>
              <w:spacing w:line="240" w:lineRule="exact"/>
              <w:jc w:val="center"/>
              <w:rPr>
                <w:kern w:val="0"/>
                <w:szCs w:val="21"/>
              </w:rPr>
            </w:pPr>
            <w:r>
              <w:rPr>
                <w:rFonts w:hint="eastAsia"/>
                <w:kern w:val="0"/>
                <w:szCs w:val="21"/>
              </w:rPr>
              <w:t>不予</w:t>
            </w:r>
          </w:p>
          <w:p>
            <w:pPr>
              <w:spacing w:line="240" w:lineRule="exact"/>
              <w:jc w:val="center"/>
              <w:rPr>
                <w:kern w:val="0"/>
                <w:szCs w:val="21"/>
              </w:rPr>
            </w:pPr>
            <w:r>
              <w:rPr>
                <w:rFonts w:hint="eastAsia"/>
                <w:kern w:val="0"/>
                <w:szCs w:val="21"/>
              </w:rPr>
              <w:t>公开</w:t>
            </w:r>
          </w:p>
        </w:tc>
        <w:tc>
          <w:tcPr>
            <w:tcW w:w="2630" w:type="dxa"/>
            <w:tcMar>
              <w:left w:w="57" w:type="dxa"/>
              <w:right w:w="57" w:type="dxa"/>
            </w:tcMar>
            <w:vAlign w:val="center"/>
          </w:tcPr>
          <w:p>
            <w:pPr>
              <w:spacing w:line="240" w:lineRule="exact"/>
              <w:jc w:val="both"/>
              <w:rPr>
                <w:kern w:val="0"/>
                <w:szCs w:val="21"/>
              </w:rPr>
            </w:pPr>
            <w:r>
              <w:rPr>
                <w:rFonts w:hint="eastAsia"/>
                <w:kern w:val="0"/>
                <w:szCs w:val="21"/>
              </w:rPr>
              <w:t>1.属于国家秘密</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0" w:hRule="atLeast"/>
        </w:trPr>
        <w:tc>
          <w:tcPr>
            <w:tcW w:w="785" w:type="dxa"/>
            <w:vMerge w:val="continue"/>
            <w:tcMar>
              <w:left w:w="57" w:type="dxa"/>
              <w:right w:w="57" w:type="dxa"/>
            </w:tcMar>
            <w:vAlign w:val="center"/>
          </w:tcPr>
          <w:p>
            <w:pPr>
              <w:spacing w:line="240" w:lineRule="exact"/>
              <w:jc w:val="center"/>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2.其他法律行政法规禁止公开</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0" w:hRule="atLeast"/>
        </w:trPr>
        <w:tc>
          <w:tcPr>
            <w:tcW w:w="785" w:type="dxa"/>
            <w:vMerge w:val="continue"/>
            <w:tcMar>
              <w:left w:w="57" w:type="dxa"/>
              <w:right w:w="57" w:type="dxa"/>
            </w:tcMar>
            <w:vAlign w:val="center"/>
          </w:tcPr>
          <w:p>
            <w:pPr>
              <w:spacing w:line="240" w:lineRule="exact"/>
              <w:jc w:val="center"/>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3.危及“三安全一稳定”</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65" w:hRule="atLeast"/>
        </w:trPr>
        <w:tc>
          <w:tcPr>
            <w:tcW w:w="785" w:type="dxa"/>
            <w:vMerge w:val="continue"/>
            <w:tcMar>
              <w:left w:w="57" w:type="dxa"/>
              <w:right w:w="57" w:type="dxa"/>
            </w:tcMar>
            <w:vAlign w:val="center"/>
          </w:tcPr>
          <w:p>
            <w:pPr>
              <w:spacing w:line="240" w:lineRule="exact"/>
              <w:jc w:val="center"/>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4.保护第三方合法权益</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5" w:hRule="atLeast"/>
        </w:trPr>
        <w:tc>
          <w:tcPr>
            <w:tcW w:w="785" w:type="dxa"/>
            <w:vMerge w:val="continue"/>
            <w:tcMar>
              <w:left w:w="57" w:type="dxa"/>
              <w:right w:w="57" w:type="dxa"/>
            </w:tcMar>
            <w:vAlign w:val="center"/>
          </w:tcPr>
          <w:p>
            <w:pPr>
              <w:spacing w:line="240" w:lineRule="exact"/>
              <w:jc w:val="center"/>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5.属于三类内部事务信息</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trPr>
        <w:tc>
          <w:tcPr>
            <w:tcW w:w="785" w:type="dxa"/>
            <w:vMerge w:val="continue"/>
            <w:tcMar>
              <w:left w:w="57" w:type="dxa"/>
              <w:right w:w="57" w:type="dxa"/>
            </w:tcMar>
            <w:vAlign w:val="center"/>
          </w:tcPr>
          <w:p>
            <w:pPr>
              <w:spacing w:line="240" w:lineRule="exact"/>
              <w:jc w:val="center"/>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6.属于四类过程性信息</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trPr>
        <w:tc>
          <w:tcPr>
            <w:tcW w:w="785" w:type="dxa"/>
            <w:vMerge w:val="continue"/>
            <w:tcMar>
              <w:left w:w="57" w:type="dxa"/>
              <w:right w:w="57" w:type="dxa"/>
            </w:tcMar>
            <w:vAlign w:val="center"/>
          </w:tcPr>
          <w:p>
            <w:pPr>
              <w:spacing w:line="240" w:lineRule="exact"/>
              <w:jc w:val="center"/>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7.属于行政执法案卷</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10" w:hRule="atLeast"/>
        </w:trPr>
        <w:tc>
          <w:tcPr>
            <w:tcW w:w="785" w:type="dxa"/>
            <w:vMerge w:val="continue"/>
            <w:tcMar>
              <w:left w:w="57" w:type="dxa"/>
              <w:right w:w="57" w:type="dxa"/>
            </w:tcMar>
            <w:vAlign w:val="center"/>
          </w:tcPr>
          <w:p>
            <w:pPr>
              <w:spacing w:line="240" w:lineRule="exact"/>
              <w:jc w:val="center"/>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8.属于行政查询事项</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0" w:hRule="atLeast"/>
        </w:trPr>
        <w:tc>
          <w:tcPr>
            <w:tcW w:w="785" w:type="dxa"/>
            <w:vMerge w:val="continue"/>
            <w:tcMar>
              <w:left w:w="57" w:type="dxa"/>
              <w:right w:w="57" w:type="dxa"/>
            </w:tcMar>
            <w:vAlign w:val="center"/>
          </w:tcPr>
          <w:p>
            <w:pPr>
              <w:spacing w:line="240" w:lineRule="exact"/>
              <w:jc w:val="both"/>
              <w:rPr>
                <w:kern w:val="0"/>
                <w:szCs w:val="21"/>
              </w:rPr>
            </w:pPr>
          </w:p>
        </w:tc>
        <w:tc>
          <w:tcPr>
            <w:tcW w:w="959" w:type="dxa"/>
            <w:vMerge w:val="restart"/>
            <w:tcMar>
              <w:left w:w="57" w:type="dxa"/>
              <w:right w:w="57" w:type="dxa"/>
            </w:tcMar>
            <w:vAlign w:val="center"/>
          </w:tcPr>
          <w:p>
            <w:pPr>
              <w:spacing w:line="240" w:lineRule="exact"/>
              <w:jc w:val="center"/>
              <w:rPr>
                <w:kern w:val="0"/>
                <w:szCs w:val="21"/>
              </w:rPr>
            </w:pPr>
            <w:r>
              <w:rPr>
                <w:rFonts w:hint="eastAsia"/>
                <w:kern w:val="0"/>
                <w:szCs w:val="21"/>
              </w:rPr>
              <w:t>（四）无法提供</w:t>
            </w:r>
          </w:p>
        </w:tc>
        <w:tc>
          <w:tcPr>
            <w:tcW w:w="2630" w:type="dxa"/>
            <w:tcMar>
              <w:left w:w="57" w:type="dxa"/>
              <w:right w:w="57" w:type="dxa"/>
            </w:tcMar>
            <w:vAlign w:val="center"/>
          </w:tcPr>
          <w:p>
            <w:pPr>
              <w:spacing w:line="240" w:lineRule="exact"/>
              <w:jc w:val="both"/>
              <w:rPr>
                <w:kern w:val="0"/>
                <w:szCs w:val="21"/>
              </w:rPr>
            </w:pPr>
            <w:r>
              <w:rPr>
                <w:rFonts w:hint="eastAsia"/>
                <w:kern w:val="0"/>
                <w:szCs w:val="21"/>
              </w:rPr>
              <w:t>1.本机关不掌握相关政府信息</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0" w:hRule="atLeast"/>
        </w:trPr>
        <w:tc>
          <w:tcPr>
            <w:tcW w:w="785" w:type="dxa"/>
            <w:vMerge w:val="continue"/>
            <w:tcMar>
              <w:left w:w="57" w:type="dxa"/>
              <w:right w:w="57" w:type="dxa"/>
            </w:tcMar>
            <w:vAlign w:val="center"/>
          </w:tcPr>
          <w:p>
            <w:pPr>
              <w:spacing w:line="240" w:lineRule="exact"/>
              <w:jc w:val="both"/>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2.没有现成信息需要另行制作</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5" w:hRule="atLeast"/>
        </w:trPr>
        <w:tc>
          <w:tcPr>
            <w:tcW w:w="785" w:type="dxa"/>
            <w:vMerge w:val="continue"/>
            <w:tcMar>
              <w:left w:w="57" w:type="dxa"/>
              <w:right w:w="57" w:type="dxa"/>
            </w:tcMar>
            <w:vAlign w:val="center"/>
          </w:tcPr>
          <w:p>
            <w:pPr>
              <w:spacing w:line="240" w:lineRule="exact"/>
              <w:jc w:val="both"/>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3.补正后申请内容仍不明确</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5" w:hRule="atLeast"/>
        </w:trPr>
        <w:tc>
          <w:tcPr>
            <w:tcW w:w="785" w:type="dxa"/>
            <w:vMerge w:val="continue"/>
            <w:tcMar>
              <w:left w:w="57" w:type="dxa"/>
              <w:right w:w="57" w:type="dxa"/>
            </w:tcMar>
            <w:vAlign w:val="center"/>
          </w:tcPr>
          <w:p>
            <w:pPr>
              <w:spacing w:line="240" w:lineRule="exact"/>
              <w:jc w:val="both"/>
              <w:rPr>
                <w:kern w:val="0"/>
                <w:szCs w:val="21"/>
              </w:rPr>
            </w:pPr>
          </w:p>
        </w:tc>
        <w:tc>
          <w:tcPr>
            <w:tcW w:w="959" w:type="dxa"/>
            <w:vMerge w:val="restart"/>
            <w:tcMar>
              <w:left w:w="57" w:type="dxa"/>
              <w:right w:w="57" w:type="dxa"/>
            </w:tcMar>
            <w:vAlign w:val="center"/>
          </w:tcPr>
          <w:p>
            <w:pPr>
              <w:spacing w:line="240" w:lineRule="exact"/>
              <w:jc w:val="center"/>
              <w:rPr>
                <w:kern w:val="0"/>
                <w:szCs w:val="21"/>
              </w:rPr>
            </w:pPr>
            <w:r>
              <w:rPr>
                <w:rFonts w:hint="eastAsia"/>
                <w:kern w:val="0"/>
                <w:szCs w:val="21"/>
              </w:rPr>
              <w:t>（五）不予处理</w:t>
            </w:r>
          </w:p>
        </w:tc>
        <w:tc>
          <w:tcPr>
            <w:tcW w:w="2630" w:type="dxa"/>
            <w:tcMar>
              <w:left w:w="57" w:type="dxa"/>
              <w:right w:w="57" w:type="dxa"/>
            </w:tcMar>
            <w:vAlign w:val="center"/>
          </w:tcPr>
          <w:p>
            <w:pPr>
              <w:spacing w:line="240" w:lineRule="exact"/>
              <w:jc w:val="both"/>
              <w:rPr>
                <w:kern w:val="0"/>
                <w:szCs w:val="21"/>
              </w:rPr>
            </w:pPr>
            <w:r>
              <w:rPr>
                <w:rFonts w:hint="eastAsia"/>
                <w:kern w:val="0"/>
                <w:szCs w:val="21"/>
              </w:rPr>
              <w:t>1.信访举报投诉类申请</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5" w:hRule="atLeast"/>
        </w:trPr>
        <w:tc>
          <w:tcPr>
            <w:tcW w:w="785" w:type="dxa"/>
            <w:vMerge w:val="continue"/>
            <w:tcMar>
              <w:left w:w="57" w:type="dxa"/>
              <w:right w:w="57" w:type="dxa"/>
            </w:tcMar>
            <w:vAlign w:val="center"/>
          </w:tcPr>
          <w:p>
            <w:pPr>
              <w:spacing w:line="240" w:lineRule="exact"/>
              <w:jc w:val="both"/>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2.重复申请</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90" w:hRule="atLeast"/>
        </w:trPr>
        <w:tc>
          <w:tcPr>
            <w:tcW w:w="785" w:type="dxa"/>
            <w:vMerge w:val="continue"/>
            <w:tcMar>
              <w:left w:w="57" w:type="dxa"/>
              <w:right w:w="57" w:type="dxa"/>
            </w:tcMar>
            <w:vAlign w:val="center"/>
          </w:tcPr>
          <w:p>
            <w:pPr>
              <w:spacing w:line="240" w:lineRule="exact"/>
              <w:jc w:val="both"/>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3.要求提供公开出版物</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90" w:hRule="atLeast"/>
        </w:trPr>
        <w:tc>
          <w:tcPr>
            <w:tcW w:w="785" w:type="dxa"/>
            <w:vMerge w:val="continue"/>
            <w:tcMar>
              <w:left w:w="57" w:type="dxa"/>
              <w:right w:w="57" w:type="dxa"/>
            </w:tcMar>
            <w:vAlign w:val="center"/>
          </w:tcPr>
          <w:p>
            <w:pPr>
              <w:spacing w:line="240" w:lineRule="exact"/>
              <w:jc w:val="both"/>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4.无正当理由大量反复申请</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9" w:hRule="atLeast"/>
        </w:trPr>
        <w:tc>
          <w:tcPr>
            <w:tcW w:w="785" w:type="dxa"/>
            <w:vMerge w:val="continue"/>
            <w:tcMar>
              <w:left w:w="57" w:type="dxa"/>
              <w:right w:w="57" w:type="dxa"/>
            </w:tcMar>
            <w:vAlign w:val="center"/>
          </w:tcPr>
          <w:p>
            <w:pPr>
              <w:spacing w:line="240" w:lineRule="exact"/>
              <w:jc w:val="both"/>
              <w:rPr>
                <w:kern w:val="0"/>
                <w:szCs w:val="21"/>
              </w:rPr>
            </w:pPr>
          </w:p>
        </w:tc>
        <w:tc>
          <w:tcPr>
            <w:tcW w:w="959" w:type="dxa"/>
            <w:vMerge w:val="continue"/>
            <w:tcMar>
              <w:left w:w="57" w:type="dxa"/>
              <w:right w:w="57" w:type="dxa"/>
            </w:tcMar>
            <w:vAlign w:val="center"/>
          </w:tcPr>
          <w:p>
            <w:pPr>
              <w:spacing w:line="240" w:lineRule="exact"/>
              <w:jc w:val="center"/>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5.要求行政机关确认或重新出具已获取信息</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45" w:hRule="atLeast"/>
        </w:trPr>
        <w:tc>
          <w:tcPr>
            <w:tcW w:w="785" w:type="dxa"/>
            <w:vMerge w:val="continue"/>
            <w:tcMar>
              <w:left w:w="57" w:type="dxa"/>
              <w:right w:w="57" w:type="dxa"/>
            </w:tcMar>
            <w:vAlign w:val="center"/>
          </w:tcPr>
          <w:p>
            <w:pPr>
              <w:spacing w:line="240" w:lineRule="exact"/>
              <w:jc w:val="both"/>
              <w:rPr>
                <w:kern w:val="0"/>
                <w:szCs w:val="21"/>
              </w:rPr>
            </w:pPr>
          </w:p>
        </w:tc>
        <w:tc>
          <w:tcPr>
            <w:tcW w:w="959" w:type="dxa"/>
            <w:vMerge w:val="restart"/>
            <w:tcMar>
              <w:left w:w="57" w:type="dxa"/>
              <w:right w:w="57" w:type="dxa"/>
            </w:tcMar>
            <w:vAlign w:val="center"/>
          </w:tcPr>
          <w:p>
            <w:pPr>
              <w:spacing w:line="240" w:lineRule="exact"/>
              <w:jc w:val="center"/>
              <w:rPr>
                <w:kern w:val="0"/>
                <w:szCs w:val="21"/>
              </w:rPr>
            </w:pPr>
            <w:r>
              <w:rPr>
                <w:rFonts w:hint="eastAsia"/>
                <w:kern w:val="0"/>
                <w:szCs w:val="21"/>
              </w:rPr>
              <w:t>（六）其他处理</w:t>
            </w:r>
          </w:p>
        </w:tc>
        <w:tc>
          <w:tcPr>
            <w:tcW w:w="2630" w:type="dxa"/>
            <w:tcMar>
              <w:left w:w="57" w:type="dxa"/>
              <w:right w:w="57" w:type="dxa"/>
            </w:tcMar>
            <w:vAlign w:val="center"/>
          </w:tcPr>
          <w:p>
            <w:pPr>
              <w:spacing w:line="240" w:lineRule="exact"/>
              <w:jc w:val="both"/>
              <w:rPr>
                <w:kern w:val="0"/>
                <w:szCs w:val="21"/>
              </w:rPr>
            </w:pPr>
            <w:r>
              <w:rPr>
                <w:rFonts w:hint="eastAsia"/>
                <w:kern w:val="0"/>
                <w:szCs w:val="21"/>
              </w:rPr>
              <w:t>1.申请人无正当理由逾期不补正、行政机关不再处理其政府信息公开申请</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20" w:hRule="atLeast"/>
        </w:trPr>
        <w:tc>
          <w:tcPr>
            <w:tcW w:w="785" w:type="dxa"/>
            <w:vMerge w:val="continue"/>
            <w:tcMar>
              <w:left w:w="57" w:type="dxa"/>
              <w:right w:w="57" w:type="dxa"/>
            </w:tcMar>
            <w:vAlign w:val="center"/>
          </w:tcPr>
          <w:p>
            <w:pPr>
              <w:spacing w:line="240" w:lineRule="exact"/>
              <w:jc w:val="both"/>
              <w:rPr>
                <w:kern w:val="0"/>
                <w:szCs w:val="21"/>
              </w:rPr>
            </w:pPr>
          </w:p>
        </w:tc>
        <w:tc>
          <w:tcPr>
            <w:tcW w:w="959" w:type="dxa"/>
            <w:vMerge w:val="continue"/>
            <w:tcMar>
              <w:left w:w="57" w:type="dxa"/>
              <w:right w:w="57" w:type="dxa"/>
            </w:tcMar>
            <w:vAlign w:val="center"/>
          </w:tcPr>
          <w:p>
            <w:pPr>
              <w:spacing w:line="240" w:lineRule="exact"/>
              <w:jc w:val="both"/>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2.申请人逾期未按收费通知要求缴纳费用、行政机关不再处理其政府信息公开申请</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5" w:hRule="atLeast"/>
        </w:trPr>
        <w:tc>
          <w:tcPr>
            <w:tcW w:w="785" w:type="dxa"/>
            <w:vMerge w:val="continue"/>
            <w:tcMar>
              <w:left w:w="57" w:type="dxa"/>
              <w:right w:w="57" w:type="dxa"/>
            </w:tcMar>
            <w:vAlign w:val="center"/>
          </w:tcPr>
          <w:p>
            <w:pPr>
              <w:spacing w:line="240" w:lineRule="exact"/>
              <w:jc w:val="both"/>
              <w:rPr>
                <w:kern w:val="0"/>
                <w:szCs w:val="21"/>
              </w:rPr>
            </w:pPr>
          </w:p>
        </w:tc>
        <w:tc>
          <w:tcPr>
            <w:tcW w:w="959" w:type="dxa"/>
            <w:vMerge w:val="continue"/>
            <w:tcMar>
              <w:left w:w="57" w:type="dxa"/>
              <w:right w:w="57" w:type="dxa"/>
            </w:tcMar>
            <w:vAlign w:val="center"/>
          </w:tcPr>
          <w:p>
            <w:pPr>
              <w:spacing w:line="240" w:lineRule="exact"/>
              <w:jc w:val="both"/>
              <w:rPr>
                <w:kern w:val="0"/>
                <w:szCs w:val="21"/>
              </w:rPr>
            </w:pPr>
          </w:p>
        </w:tc>
        <w:tc>
          <w:tcPr>
            <w:tcW w:w="2630" w:type="dxa"/>
            <w:tcMar>
              <w:left w:w="57" w:type="dxa"/>
              <w:right w:w="57" w:type="dxa"/>
            </w:tcMar>
            <w:vAlign w:val="center"/>
          </w:tcPr>
          <w:p>
            <w:pPr>
              <w:spacing w:line="240" w:lineRule="exact"/>
              <w:jc w:val="both"/>
              <w:rPr>
                <w:kern w:val="0"/>
                <w:szCs w:val="21"/>
              </w:rPr>
            </w:pPr>
            <w:r>
              <w:rPr>
                <w:rFonts w:hint="eastAsia"/>
                <w:kern w:val="0"/>
                <w:szCs w:val="21"/>
              </w:rPr>
              <w:t>3.其他</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5" w:hRule="atLeast"/>
        </w:trPr>
        <w:tc>
          <w:tcPr>
            <w:tcW w:w="785" w:type="dxa"/>
            <w:vMerge w:val="continue"/>
            <w:tcMar>
              <w:left w:w="57" w:type="dxa"/>
              <w:right w:w="57" w:type="dxa"/>
            </w:tcMar>
            <w:vAlign w:val="center"/>
          </w:tcPr>
          <w:p>
            <w:pPr>
              <w:spacing w:line="240" w:lineRule="exact"/>
              <w:jc w:val="both"/>
              <w:rPr>
                <w:kern w:val="0"/>
                <w:szCs w:val="21"/>
              </w:rPr>
            </w:pPr>
          </w:p>
        </w:tc>
        <w:tc>
          <w:tcPr>
            <w:tcW w:w="3589" w:type="dxa"/>
            <w:gridSpan w:val="2"/>
            <w:tcMar>
              <w:left w:w="57" w:type="dxa"/>
              <w:right w:w="57" w:type="dxa"/>
            </w:tcMar>
            <w:vAlign w:val="center"/>
          </w:tcPr>
          <w:p>
            <w:pPr>
              <w:spacing w:line="240" w:lineRule="exact"/>
              <w:jc w:val="both"/>
              <w:rPr>
                <w:kern w:val="0"/>
                <w:szCs w:val="21"/>
              </w:rPr>
            </w:pPr>
            <w:r>
              <w:rPr>
                <w:rFonts w:hint="eastAsia"/>
                <w:kern w:val="0"/>
                <w:szCs w:val="21"/>
              </w:rPr>
              <w:t>（七）总计</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5" w:hRule="atLeast"/>
        </w:trPr>
        <w:tc>
          <w:tcPr>
            <w:tcW w:w="4374" w:type="dxa"/>
            <w:gridSpan w:val="3"/>
            <w:tcMar>
              <w:left w:w="57" w:type="dxa"/>
              <w:right w:w="57" w:type="dxa"/>
            </w:tcMar>
            <w:vAlign w:val="center"/>
          </w:tcPr>
          <w:p>
            <w:pPr>
              <w:spacing w:line="240" w:lineRule="exact"/>
              <w:jc w:val="both"/>
              <w:rPr>
                <w:kern w:val="0"/>
                <w:szCs w:val="21"/>
              </w:rPr>
            </w:pPr>
            <w:r>
              <w:rPr>
                <w:rFonts w:hint="eastAsia"/>
                <w:kern w:val="0"/>
                <w:szCs w:val="21"/>
              </w:rPr>
              <w:t>四、结转下年度继续办理</w:t>
            </w:r>
          </w:p>
        </w:tc>
        <w:tc>
          <w:tcPr>
            <w:tcW w:w="60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53"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14" w:type="dxa"/>
            <w:tcMar>
              <w:left w:w="57" w:type="dxa"/>
              <w:right w:w="57" w:type="dxa"/>
            </w:tcMar>
            <w:vAlign w:val="center"/>
          </w:tcPr>
          <w:p>
            <w:pPr>
              <w:spacing w:line="240" w:lineRule="exact"/>
              <w:jc w:val="center"/>
              <w:rPr>
                <w:kern w:val="0"/>
                <w:szCs w:val="21"/>
              </w:rPr>
            </w:pPr>
            <w:r>
              <w:rPr>
                <w:rFonts w:hint="eastAsia"/>
                <w:kern w:val="0"/>
                <w:szCs w:val="21"/>
              </w:rPr>
              <w:t>0</w:t>
            </w:r>
          </w:p>
        </w:tc>
        <w:tc>
          <w:tcPr>
            <w:tcW w:w="701" w:type="dxa"/>
            <w:tcMar>
              <w:left w:w="57" w:type="dxa"/>
              <w:right w:w="57" w:type="dxa"/>
            </w:tcMar>
            <w:vAlign w:val="center"/>
          </w:tcPr>
          <w:p>
            <w:pPr>
              <w:spacing w:line="240" w:lineRule="exact"/>
              <w:jc w:val="center"/>
              <w:rPr>
                <w:kern w:val="0"/>
                <w:szCs w:val="21"/>
              </w:rPr>
            </w:pPr>
            <w:r>
              <w:rPr>
                <w:rFonts w:hint="eastAsia"/>
                <w:kern w:val="0"/>
                <w:szCs w:val="21"/>
              </w:rPr>
              <w:t>0</w:t>
            </w:r>
          </w:p>
        </w:tc>
      </w:tr>
    </w:tbl>
    <w:p>
      <w:pPr>
        <w:pStyle w:val="6"/>
        <w:spacing w:line="560" w:lineRule="exact"/>
        <w:ind w:firstLine="640" w:firstLineChars="200"/>
        <w:jc w:val="both"/>
        <w:rPr>
          <w:rFonts w:ascii="黑体" w:hAnsi="黑体" w:eastAsia="黑体"/>
        </w:rPr>
      </w:pPr>
      <w:r>
        <w:rPr>
          <w:rFonts w:hint="eastAsia" w:ascii="黑体" w:hAnsi="黑体" w:eastAsia="黑体"/>
        </w:rPr>
        <w:t>四、政府信息公开行政复议、行政诉讼情况</w:t>
      </w:r>
    </w:p>
    <w:tbl>
      <w:tblPr>
        <w:tblStyle w:val="7"/>
        <w:tblW w:w="936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743"/>
        <w:gridCol w:w="432"/>
        <w:gridCol w:w="649"/>
        <w:gridCol w:w="649"/>
        <w:gridCol w:w="650"/>
        <w:gridCol w:w="650"/>
        <w:gridCol w:w="576"/>
        <w:gridCol w:w="650"/>
        <w:gridCol w:w="650"/>
        <w:gridCol w:w="650"/>
        <w:gridCol w:w="650"/>
        <w:gridCol w:w="47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5" w:hRule="atLeast"/>
          <w:jc w:val="center"/>
        </w:trPr>
        <w:tc>
          <w:tcPr>
            <w:tcW w:w="3122"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行政复议</w:t>
            </w:r>
          </w:p>
        </w:tc>
        <w:tc>
          <w:tcPr>
            <w:tcW w:w="6246"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结果</w:t>
            </w:r>
            <w:r>
              <w:rPr>
                <w:kern w:val="0"/>
                <w:szCs w:val="21"/>
              </w:rPr>
              <w:br w:type="textWrapping"/>
            </w:r>
            <w:r>
              <w:rPr>
                <w:rFonts w:hint="eastAsia"/>
                <w:kern w:val="0"/>
                <w:szCs w:val="21"/>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其他</w:t>
            </w:r>
            <w:r>
              <w:rPr>
                <w:kern w:val="0"/>
                <w:szCs w:val="21"/>
              </w:rPr>
              <w:br w:type="textWrapping"/>
            </w:r>
            <w:r>
              <w:rPr>
                <w:rFonts w:hint="eastAsia"/>
                <w:kern w:val="0"/>
                <w:szCs w:val="21"/>
              </w:rPr>
              <w:t>结果</w:t>
            </w:r>
          </w:p>
        </w:tc>
        <w:tc>
          <w:tcPr>
            <w:tcW w:w="74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尚未</w:t>
            </w:r>
            <w:r>
              <w:rPr>
                <w:kern w:val="0"/>
                <w:szCs w:val="21"/>
              </w:rPr>
              <w:br w:type="textWrapping"/>
            </w:r>
            <w:r>
              <w:rPr>
                <w:rFonts w:hint="eastAsia"/>
                <w:kern w:val="0"/>
                <w:szCs w:val="21"/>
              </w:rPr>
              <w:t>审结</w:t>
            </w:r>
          </w:p>
        </w:tc>
        <w:tc>
          <w:tcPr>
            <w:tcW w:w="43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总计</w:t>
            </w:r>
          </w:p>
        </w:tc>
        <w:tc>
          <w:tcPr>
            <w:tcW w:w="31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未经复议直接起诉</w:t>
            </w:r>
          </w:p>
        </w:tc>
        <w:tc>
          <w:tcPr>
            <w:tcW w:w="3072"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jc w:val="left"/>
              <w:rPr>
                <w:rFonts w:eastAsia="仿宋_GB2312"/>
                <w:kern w:val="0"/>
                <w:szCs w:val="21"/>
              </w:rPr>
            </w:pPr>
          </w:p>
        </w:tc>
        <w:tc>
          <w:tcPr>
            <w:tcW w:w="649" w:type="dxa"/>
            <w:vMerge w:val="continue"/>
            <w:tcBorders>
              <w:top w:val="nil"/>
              <w:left w:val="single" w:color="auto" w:sz="8" w:space="0"/>
              <w:bottom w:val="single" w:color="auto" w:sz="8" w:space="0"/>
              <w:right w:val="single" w:color="auto" w:sz="8" w:space="0"/>
            </w:tcBorders>
            <w:vAlign w:val="center"/>
          </w:tcPr>
          <w:p>
            <w:pPr>
              <w:jc w:val="left"/>
              <w:rPr>
                <w:rFonts w:eastAsia="仿宋_GB2312"/>
                <w:kern w:val="0"/>
                <w:szCs w:val="21"/>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jc w:val="left"/>
              <w:rPr>
                <w:rFonts w:eastAsia="仿宋_GB2312"/>
                <w:kern w:val="0"/>
                <w:szCs w:val="21"/>
              </w:rPr>
            </w:pPr>
          </w:p>
        </w:tc>
        <w:tc>
          <w:tcPr>
            <w:tcW w:w="743" w:type="dxa"/>
            <w:vMerge w:val="continue"/>
            <w:tcBorders>
              <w:top w:val="single" w:color="auto" w:sz="8" w:space="0"/>
              <w:left w:val="single" w:color="auto" w:sz="8" w:space="0"/>
              <w:bottom w:val="single" w:color="auto" w:sz="8" w:space="0"/>
              <w:right w:val="single" w:color="auto" w:sz="8" w:space="0"/>
            </w:tcBorders>
            <w:vAlign w:val="center"/>
          </w:tcPr>
          <w:p>
            <w:pPr>
              <w:jc w:val="left"/>
              <w:rPr>
                <w:rFonts w:eastAsia="仿宋_GB2312"/>
                <w:kern w:val="0"/>
                <w:szCs w:val="21"/>
              </w:rPr>
            </w:pPr>
          </w:p>
        </w:tc>
        <w:tc>
          <w:tcPr>
            <w:tcW w:w="432" w:type="dxa"/>
            <w:vMerge w:val="continue"/>
            <w:tcBorders>
              <w:top w:val="single" w:color="auto" w:sz="8" w:space="0"/>
              <w:left w:val="single" w:color="auto" w:sz="8" w:space="0"/>
              <w:bottom w:val="single" w:color="auto" w:sz="8" w:space="0"/>
              <w:right w:val="single" w:color="auto" w:sz="8" w:space="0"/>
            </w:tcBorders>
            <w:vAlign w:val="center"/>
          </w:tcPr>
          <w:p>
            <w:pPr>
              <w:jc w:val="left"/>
              <w:rPr>
                <w:rFonts w:eastAsia="仿宋_GB2312"/>
                <w:kern w:val="0"/>
                <w:szCs w:val="21"/>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结果</w:t>
            </w:r>
            <w:r>
              <w:rPr>
                <w:kern w:val="0"/>
                <w:szCs w:val="21"/>
              </w:rPr>
              <w:br w:type="textWrapping"/>
            </w:r>
            <w:r>
              <w:rPr>
                <w:rFonts w:hint="eastAsia"/>
                <w:kern w:val="0"/>
                <w:szCs w:val="21"/>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结果</w:t>
            </w:r>
            <w:r>
              <w:rPr>
                <w:kern w:val="0"/>
                <w:szCs w:val="21"/>
              </w:rPr>
              <w:br w:type="textWrapping"/>
            </w:r>
            <w:r>
              <w:rPr>
                <w:rFonts w:hint="eastAsia"/>
                <w:kern w:val="0"/>
                <w:szCs w:val="21"/>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其他</w:t>
            </w:r>
            <w:r>
              <w:rPr>
                <w:kern w:val="0"/>
                <w:szCs w:val="21"/>
              </w:rPr>
              <w:br w:type="textWrapping"/>
            </w:r>
            <w:r>
              <w:rPr>
                <w:rFonts w:hint="eastAsia"/>
                <w:kern w:val="0"/>
                <w:szCs w:val="21"/>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尚未</w:t>
            </w:r>
            <w:r>
              <w:rPr>
                <w:kern w:val="0"/>
                <w:szCs w:val="21"/>
              </w:rPr>
              <w:br w:type="textWrapping"/>
            </w:r>
            <w:r>
              <w:rPr>
                <w:rFonts w:hint="eastAsia"/>
                <w:kern w:val="0"/>
                <w:szCs w:val="21"/>
              </w:rPr>
              <w:t>审结</w:t>
            </w:r>
          </w:p>
        </w:tc>
        <w:tc>
          <w:tcPr>
            <w:tcW w:w="5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结果</w:t>
            </w:r>
            <w:r>
              <w:rPr>
                <w:kern w:val="0"/>
                <w:szCs w:val="21"/>
              </w:rPr>
              <w:br w:type="textWrapping"/>
            </w:r>
            <w:r>
              <w:rPr>
                <w:rFonts w:hint="eastAsia"/>
                <w:kern w:val="0"/>
                <w:szCs w:val="21"/>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结果</w:t>
            </w:r>
            <w:r>
              <w:rPr>
                <w:kern w:val="0"/>
                <w:szCs w:val="21"/>
              </w:rPr>
              <w:br w:type="textWrapping"/>
            </w:r>
            <w:r>
              <w:rPr>
                <w:rFonts w:hint="eastAsia"/>
                <w:kern w:val="0"/>
                <w:szCs w:val="21"/>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其他</w:t>
            </w:r>
            <w:r>
              <w:rPr>
                <w:kern w:val="0"/>
                <w:szCs w:val="21"/>
              </w:rPr>
              <w:br w:type="textWrapping"/>
            </w:r>
            <w:r>
              <w:rPr>
                <w:rFonts w:hint="eastAsia"/>
                <w:kern w:val="0"/>
                <w:szCs w:val="21"/>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尚未</w:t>
            </w:r>
            <w:r>
              <w:rPr>
                <w:kern w:val="0"/>
                <w:szCs w:val="21"/>
              </w:rPr>
              <w:br w:type="textWrapping"/>
            </w:r>
            <w:r>
              <w:rPr>
                <w:rFonts w:hint="eastAsia"/>
                <w:kern w:val="0"/>
                <w:szCs w:val="21"/>
              </w:rPr>
              <w:t>审结</w:t>
            </w:r>
          </w:p>
        </w:tc>
        <w:tc>
          <w:tcPr>
            <w:tcW w:w="47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rFonts w:hint="eastAsia"/>
                <w:kern w:val="0"/>
                <w:szCs w:val="21"/>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7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4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5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c>
          <w:tcPr>
            <w:tcW w:w="47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eastAsia="仿宋_GB2312"/>
                <w:kern w:val="0"/>
                <w:szCs w:val="21"/>
              </w:rPr>
            </w:pPr>
            <w:r>
              <w:rPr>
                <w:kern w:val="0"/>
                <w:szCs w:val="21"/>
              </w:rPr>
              <w:t>0</w:t>
            </w:r>
          </w:p>
        </w:tc>
      </w:tr>
    </w:tbl>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bCs/>
          <w:kern w:val="0"/>
          <w:sz w:val="32"/>
          <w:szCs w:val="32"/>
        </w:rPr>
      </w:pPr>
      <w:r>
        <w:rPr>
          <w:rFonts w:hint="eastAsia" w:ascii="黑体" w:hAnsi="黑体" w:eastAsia="黑体" w:cs="宋体"/>
          <w:bCs/>
          <w:kern w:val="0"/>
          <w:sz w:val="32"/>
          <w:szCs w:val="32"/>
        </w:rPr>
        <w:t>五、政府信息公开工作存在的主要问题和改进措施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Calibri" w:eastAsia="仿宋_GB2312"/>
          <w:color w:val="000000"/>
          <w:kern w:val="0"/>
          <w:sz w:val="32"/>
          <w:szCs w:val="32"/>
        </w:rPr>
      </w:pPr>
      <w:r>
        <w:rPr>
          <w:rFonts w:hint="eastAsia" w:ascii="仿宋_GB2312" w:eastAsia="仿宋_GB2312"/>
          <w:color w:val="000000"/>
          <w:kern w:val="0"/>
          <w:sz w:val="32"/>
          <w:szCs w:val="32"/>
        </w:rPr>
        <w:t>总体上看，我办政府信息公开工作正在</w:t>
      </w:r>
      <w:r>
        <w:rPr>
          <w:rFonts w:hint="eastAsia" w:ascii="仿宋_GB2312" w:eastAsia="仿宋_GB2312"/>
          <w:color w:val="000000"/>
          <w:kern w:val="0"/>
          <w:sz w:val="32"/>
          <w:szCs w:val="32"/>
          <w:lang w:eastAsia="zh-CN"/>
        </w:rPr>
        <w:t>井然</w:t>
      </w:r>
      <w:r>
        <w:rPr>
          <w:rFonts w:hint="eastAsia" w:ascii="仿宋_GB2312" w:eastAsia="仿宋_GB2312"/>
          <w:color w:val="000000"/>
          <w:kern w:val="0"/>
          <w:sz w:val="32"/>
          <w:szCs w:val="32"/>
        </w:rPr>
        <w:t>有序推进。下一步，我办将重点抓好以下方面工作：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信息公开的内容有待</w:t>
      </w:r>
      <w:r>
        <w:rPr>
          <w:rFonts w:hint="eastAsia" w:ascii="仿宋_GB2312" w:eastAsia="仿宋_GB2312"/>
          <w:sz w:val="32"/>
          <w:szCs w:val="32"/>
          <w:lang w:eastAsia="zh-CN"/>
        </w:rPr>
        <w:t>充实</w:t>
      </w:r>
      <w:r>
        <w:rPr>
          <w:rFonts w:hint="eastAsia" w:ascii="仿宋_GB2312" w:eastAsia="仿宋_GB2312"/>
          <w:sz w:val="32"/>
          <w:szCs w:val="32"/>
        </w:rPr>
        <w:t>,</w:t>
      </w:r>
      <w:r>
        <w:rPr>
          <w:rFonts w:hint="eastAsia" w:ascii="仿宋_GB2312" w:eastAsia="仿宋_GB2312"/>
          <w:sz w:val="32"/>
          <w:szCs w:val="32"/>
          <w:lang w:eastAsia="zh-CN"/>
        </w:rPr>
        <w:t>扩宽信息公开的收集面。自微信、微博账号取消停更以来信息来源面变的窄小，需</w:t>
      </w:r>
      <w:r>
        <w:rPr>
          <w:rFonts w:hint="eastAsia" w:ascii="仿宋_GB2312" w:eastAsia="仿宋_GB2312"/>
          <w:sz w:val="32"/>
          <w:szCs w:val="32"/>
        </w:rPr>
        <w:t>丰富公开事项的内容</w:t>
      </w:r>
      <w:r>
        <w:rPr>
          <w:rFonts w:hint="eastAsia" w:ascii="仿宋_GB2312" w:eastAsia="仿宋_GB2312"/>
          <w:sz w:val="32"/>
          <w:szCs w:val="32"/>
          <w:lang w:eastAsia="zh-CN"/>
        </w:rPr>
        <w:t>来源</w:t>
      </w:r>
      <w:r>
        <w:rPr>
          <w:rFonts w:hint="eastAsia" w:ascii="仿宋_GB2312" w:eastAsia="仿宋_GB2312"/>
          <w:sz w:val="32"/>
          <w:szCs w:val="32"/>
        </w:rPr>
        <w:t>，确保每个领域的内容都得到及时的补充</w:t>
      </w:r>
      <w:r>
        <w:rPr>
          <w:rFonts w:hint="eastAsia" w:ascii="仿宋_GB2312" w:eastAsia="仿宋_GB2312"/>
          <w:sz w:val="32"/>
          <w:szCs w:val="32"/>
          <w:lang w:eastAsia="zh-CN"/>
        </w:rPr>
        <w:t>与</w:t>
      </w:r>
      <w:r>
        <w:rPr>
          <w:rFonts w:hint="eastAsia" w:ascii="仿宋_GB2312" w:eastAsia="仿宋_GB2312"/>
          <w:sz w:val="32"/>
          <w:szCs w:val="32"/>
        </w:rPr>
        <w:t>完善。</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ascii="黑体" w:hAnsi="黑体" w:eastAsia="黑体" w:cs="宋体"/>
          <w:bCs/>
          <w:kern w:val="0"/>
          <w:sz w:val="32"/>
          <w:szCs w:val="32"/>
        </w:rPr>
      </w:pPr>
      <w:r>
        <w:rPr>
          <w:rFonts w:hint="eastAsia" w:ascii="黑体" w:hAnsi="黑体" w:eastAsia="黑体" w:cs="宋体"/>
          <w:bCs/>
          <w:kern w:val="0"/>
          <w:sz w:val="32"/>
          <w:szCs w:val="32"/>
        </w:rPr>
        <w:t>六、其他需要报告的事项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本单位未收到政府信息公开申请，故未产生任何有关政府信息公开信息处理事项及费用。后续将严格执行国务院办公厅印发的《政府信息公开信息处理费管理办法》和省、市政府办公厅相关规定，维护政府信息公开工作秩序，更好地保障公众知情权。</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ascii="仿宋_GB2312" w:hAnsi="Calibri" w:eastAsia="仿宋_GB2312"/>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Calibri" w:eastAsia="仿宋_GB2312"/>
          <w:color w:val="000000"/>
          <w:kern w:val="0"/>
          <w:sz w:val="32"/>
          <w:szCs w:val="32"/>
        </w:rPr>
      </w:pPr>
      <w:r>
        <w:rPr>
          <w:rFonts w:hint="eastAsia" w:ascii="仿宋_GB2312" w:hAnsi="Calibri" w:eastAsia="仿宋_GB2312"/>
          <w:color w:val="000000"/>
          <w:kern w:val="0"/>
          <w:sz w:val="32"/>
          <w:szCs w:val="32"/>
        </w:rPr>
        <w:t xml:space="preserve">                        宁波市镇海区政务服务办公室</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Calibri" w:eastAsia="仿宋_GB2312"/>
          <w:color w:val="000000"/>
          <w:kern w:val="0"/>
          <w:sz w:val="32"/>
          <w:szCs w:val="32"/>
        </w:rPr>
      </w:pPr>
      <w:r>
        <w:rPr>
          <w:rFonts w:hint="eastAsia" w:eastAsia="仿宋_GB2312"/>
          <w:kern w:val="0"/>
          <w:sz w:val="32"/>
          <w:szCs w:val="32"/>
        </w:rPr>
        <w:t xml:space="preserve">                             2022</w:t>
      </w:r>
      <w:r>
        <w:rPr>
          <w:rFonts w:hint="eastAsia" w:ascii="仿宋_GB2312" w:hAnsi="Calibri" w:eastAsia="仿宋_GB2312"/>
          <w:color w:val="000000"/>
          <w:kern w:val="0"/>
          <w:sz w:val="32"/>
          <w:szCs w:val="32"/>
        </w:rPr>
        <w:t>年</w:t>
      </w:r>
      <w:r>
        <w:rPr>
          <w:rFonts w:hint="eastAsia" w:eastAsia="仿宋_GB2312"/>
          <w:kern w:val="0"/>
          <w:sz w:val="32"/>
          <w:szCs w:val="32"/>
        </w:rPr>
        <w:t>1</w:t>
      </w:r>
      <w:r>
        <w:rPr>
          <w:rFonts w:hint="eastAsia" w:eastAsia="仿宋_GB2312"/>
          <w:kern w:val="0"/>
          <w:sz w:val="32"/>
          <w:szCs w:val="32"/>
          <w:lang w:val="en-US" w:eastAsia="zh-CN"/>
        </w:rPr>
        <w:t>2</w:t>
      </w:r>
      <w:r>
        <w:rPr>
          <w:rFonts w:hint="eastAsia" w:ascii="仿宋_GB2312" w:hAnsi="Calibri" w:eastAsia="仿宋_GB2312"/>
          <w:color w:val="000000"/>
          <w:kern w:val="0"/>
          <w:sz w:val="32"/>
          <w:szCs w:val="32"/>
        </w:rPr>
        <w:t>月</w:t>
      </w:r>
      <w:r>
        <w:rPr>
          <w:rFonts w:hint="eastAsia" w:ascii="仿宋_GB2312" w:hAnsi="Calibri" w:eastAsia="仿宋_GB2312"/>
          <w:color w:val="000000"/>
          <w:kern w:val="0"/>
          <w:sz w:val="32"/>
          <w:szCs w:val="32"/>
          <w:lang w:val="en-US" w:eastAsia="zh-CN"/>
        </w:rPr>
        <w:t>30</w:t>
      </w:r>
      <w:r>
        <w:rPr>
          <w:rFonts w:hint="eastAsia" w:ascii="仿宋_GB2312" w:hAnsi="Calibri" w:eastAsia="仿宋_GB2312"/>
          <w:color w:val="000000"/>
          <w:kern w:val="0"/>
          <w:sz w:val="32"/>
          <w:szCs w:val="32"/>
        </w:rPr>
        <w:t>日</w:t>
      </w:r>
    </w:p>
    <w:sectPr>
      <w:footerReference r:id="rId3" w:type="default"/>
      <w:pgSz w:w="11906" w:h="16838"/>
      <w:pgMar w:top="1418" w:right="1474" w:bottom="1418" w:left="147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Mjk2ZjI1YWUyNDgyODE5ZmZmZjcxZTNmZTAwMTkifQ=="/>
  </w:docVars>
  <w:rsids>
    <w:rsidRoot w:val="00F042B2"/>
    <w:rsid w:val="00000C5D"/>
    <w:rsid w:val="00081674"/>
    <w:rsid w:val="00097A23"/>
    <w:rsid w:val="000F55C6"/>
    <w:rsid w:val="00155180"/>
    <w:rsid w:val="0021273E"/>
    <w:rsid w:val="002E1765"/>
    <w:rsid w:val="00407F01"/>
    <w:rsid w:val="00437B66"/>
    <w:rsid w:val="0051221B"/>
    <w:rsid w:val="00522DB1"/>
    <w:rsid w:val="00525136"/>
    <w:rsid w:val="005630C6"/>
    <w:rsid w:val="005E2C0F"/>
    <w:rsid w:val="006D3FD1"/>
    <w:rsid w:val="00760C2B"/>
    <w:rsid w:val="007863C5"/>
    <w:rsid w:val="007F3B67"/>
    <w:rsid w:val="00813061"/>
    <w:rsid w:val="008C2734"/>
    <w:rsid w:val="008E6F7E"/>
    <w:rsid w:val="00906A86"/>
    <w:rsid w:val="0091263E"/>
    <w:rsid w:val="00A01508"/>
    <w:rsid w:val="00A72932"/>
    <w:rsid w:val="00B5572B"/>
    <w:rsid w:val="00C22E7F"/>
    <w:rsid w:val="00C748CD"/>
    <w:rsid w:val="00CA7490"/>
    <w:rsid w:val="00D96172"/>
    <w:rsid w:val="00DB3C75"/>
    <w:rsid w:val="00E850AC"/>
    <w:rsid w:val="00F042B2"/>
    <w:rsid w:val="00F1720F"/>
    <w:rsid w:val="00F83254"/>
    <w:rsid w:val="00FB38DC"/>
    <w:rsid w:val="00FC6E80"/>
    <w:rsid w:val="043F18FC"/>
    <w:rsid w:val="06547A8C"/>
    <w:rsid w:val="091B75A6"/>
    <w:rsid w:val="0A981BF6"/>
    <w:rsid w:val="0B1165B8"/>
    <w:rsid w:val="0BAD78C9"/>
    <w:rsid w:val="0E035A29"/>
    <w:rsid w:val="0FEC6B01"/>
    <w:rsid w:val="110628E3"/>
    <w:rsid w:val="16463465"/>
    <w:rsid w:val="18B73E7A"/>
    <w:rsid w:val="1AA327C4"/>
    <w:rsid w:val="1AFE461D"/>
    <w:rsid w:val="2B1044F7"/>
    <w:rsid w:val="2BDB22F1"/>
    <w:rsid w:val="34A4166B"/>
    <w:rsid w:val="353C5BB3"/>
    <w:rsid w:val="35B05C5F"/>
    <w:rsid w:val="3A3A2A46"/>
    <w:rsid w:val="3E471F08"/>
    <w:rsid w:val="3F986542"/>
    <w:rsid w:val="4A2304E9"/>
    <w:rsid w:val="53206984"/>
    <w:rsid w:val="5426355A"/>
    <w:rsid w:val="56923554"/>
    <w:rsid w:val="57FD6287"/>
    <w:rsid w:val="5BDC5A4E"/>
    <w:rsid w:val="5CCF4A4B"/>
    <w:rsid w:val="5F605D97"/>
    <w:rsid w:val="602E6627"/>
    <w:rsid w:val="616C3CC1"/>
    <w:rsid w:val="65260469"/>
    <w:rsid w:val="67832A7B"/>
    <w:rsid w:val="6E382E4D"/>
    <w:rsid w:val="6F2D55E1"/>
    <w:rsid w:val="76D47EFC"/>
    <w:rsid w:val="78685475"/>
    <w:rsid w:val="7F0A11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0"/>
    <w:pPr>
      <w:widowControl/>
      <w:jc w:val="left"/>
    </w:pPr>
    <w:rPr>
      <w:rFonts w:ascii="Calibri" w:hAnsi="Calibri" w:eastAsia="仿宋_GB2312" w:cs="Times New Roman"/>
      <w:kern w:val="0"/>
      <w:sz w:val="32"/>
      <w:szCs w:val="32"/>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kern w:val="2"/>
      <w:sz w:val="18"/>
      <w:szCs w:val="18"/>
    </w:rPr>
  </w:style>
  <w:style w:type="paragraph" w:customStyle="1" w:styleId="13">
    <w:name w:val="Char Char Char Char Char Char Char"/>
    <w:basedOn w:val="1"/>
    <w:qFormat/>
    <w:uiPriority w:val="0"/>
    <w:rPr>
      <w:rFonts w:ascii="Tahoma" w:hAnsi="Tahoma" w:eastAsia="仿宋_GB2312"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2192</Words>
  <Characters>2252</Characters>
  <Lines>20</Lines>
  <Paragraphs>5</Paragraphs>
  <TotalTime>25</TotalTime>
  <ScaleCrop>false</ScaleCrop>
  <LinksUpToDate>false</LinksUpToDate>
  <CharactersWithSpaces>2372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2022-01-11T08:39:00Z</dcterms:created>
  <dc:creator>区政务服务办公室</dc:creator>
  <cp:lastModifiedBy>lenovo</cp:lastModifiedBy>
  <cp:lastPrinted>2022-01-12T07:34:00Z</cp:lastPrinted>
  <dcterms:modified xsi:type="dcterms:W3CDTF">2023-01-03T08:10:57Z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9B5B2709D9AA4D17BE4355715B4DC948</vt:lpwstr>
  </property>
</Properties>
</file>