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 w:line="432" w:lineRule="atLeast"/>
        <w:jc w:val="center"/>
        <w:rPr>
          <w:rFonts w:hint="eastAsia" w:ascii="宋体" w:hAnsi="宋体" w:eastAsia="宋体" w:cs="宋体"/>
          <w:b/>
          <w:color w:val="333333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sz w:val="36"/>
          <w:szCs w:val="36"/>
          <w:lang w:eastAsia="zh-CN"/>
        </w:rPr>
        <w:t>宁波市镇海区应急管理局</w:t>
      </w:r>
    </w:p>
    <w:p>
      <w:pPr>
        <w:pStyle w:val="6"/>
        <w:widowControl/>
        <w:spacing w:before="0" w:beforeAutospacing="0" w:after="0" w:afterAutospacing="0" w:line="432" w:lineRule="atLeas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color w:val="333333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333333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color w:val="333333"/>
          <w:sz w:val="36"/>
          <w:szCs w:val="36"/>
          <w:lang w:eastAsia="zh-CN"/>
        </w:rPr>
        <w:t>度</w:t>
      </w:r>
      <w:r>
        <w:rPr>
          <w:rFonts w:hint="eastAsia" w:ascii="宋体" w:hAnsi="宋体" w:eastAsia="宋体" w:cs="宋体"/>
          <w:b/>
          <w:color w:val="333333"/>
          <w:sz w:val="36"/>
          <w:szCs w:val="36"/>
        </w:rPr>
        <w:t>政府信息公开工作年度报告</w:t>
      </w:r>
    </w:p>
    <w:p>
      <w:pPr>
        <w:numPr>
          <w:ilvl w:val="0"/>
          <w:numId w:val="0"/>
        </w:numPr>
        <w:spacing w:line="300" w:lineRule="exact"/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cs="Times New Roman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编制说明：本年度报告根据《中华人民共和国政府信息公开条例》（国务院令第711号）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要求，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结合宁波市镇海区应急管理局</w:t>
      </w:r>
      <w:r>
        <w:rPr>
          <w:rFonts w:hint="default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年度政府信息公开工作实际编制。全文包含</w:t>
      </w:r>
      <w:r>
        <w:rPr>
          <w:rFonts w:hint="eastAsia" w:ascii="仿宋_GB2312" w:hAnsi="仿宋_GB2312" w:eastAsia="仿宋_GB2312" w:cs="仿宋_GB2312"/>
          <w:spacing w:val="-4"/>
          <w:kern w:val="2"/>
          <w:sz w:val="28"/>
          <w:szCs w:val="28"/>
          <w:lang w:val="en-US" w:eastAsia="zh-CN"/>
        </w:rPr>
        <w:t>总体情况、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主动公开政府信息情况、收到和处理政府信息公开申请情况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政府信息公开行政复议、行政诉讼情况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存在的主要问题及改进情况、其他需要报告的事项六个方面。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本报告中所列数据的统计期限从</w:t>
      </w:r>
      <w:r>
        <w:rPr>
          <w:rFonts w:hint="default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default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default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日到</w:t>
      </w:r>
      <w:r>
        <w:rPr>
          <w:rFonts w:hint="default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default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日止。如对本报告所涉内容有咨询或疑问，请与宁波市镇海区应急管理局联系（地址：宁波市镇海区招宝山街道福龙路</w:t>
      </w:r>
      <w:r>
        <w:rPr>
          <w:rFonts w:hint="eastAsia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，邮编：</w:t>
      </w:r>
      <w:r>
        <w:rPr>
          <w:rFonts w:hint="eastAsia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/>
        </w:rPr>
        <w:t>315200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电话:</w:t>
      </w:r>
      <w:r>
        <w:rPr>
          <w:rFonts w:hint="eastAsia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/>
        </w:rPr>
        <w:t>0574-86661826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）。</w:t>
      </w:r>
    </w:p>
    <w:p>
      <w:pPr>
        <w:numPr>
          <w:ilvl w:val="0"/>
          <w:numId w:val="0"/>
        </w:numPr>
        <w:spacing w:line="3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00" w:lineRule="exact"/>
        <w:ind w:firstLine="560" w:firstLineChars="200"/>
        <w:rPr>
          <w:rFonts w:hint="eastAsia"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总体情况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544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，本机关严格贯彻《中华人民共和国政府信息公开条例》，认真落实主体责任，加强对全局信息公开工作的推进、指导、协调和监督工作，有效推动行政决策透明化、发布解读一体化、政务服务精细化、公开载体多元化、政民互动纵深化、申请处理规范化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/>
        </w:rPr>
        <w:t>（一）主动公开政府信息情况</w:t>
      </w:r>
    </w:p>
    <w:p>
      <w:pPr>
        <w:spacing w:line="560" w:lineRule="exact"/>
        <w:ind w:firstLine="544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 w:bidi="ar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年，我局通过宁波市应急管理系统网站、区政府信息公开网站、微信公众号等平台主动公开各类信息共</w:t>
      </w:r>
      <w:r>
        <w:rPr>
          <w:rFonts w:hint="eastAsia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 w:bidi="ar"/>
        </w:rPr>
        <w:t>1312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条。目前局信息工作主要以宁波晚报·甬上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、镇灵通为主要平台，通过宣传应急工作、普及应急知识、强化灾害预警等方式，巩固和扩大受众群体的覆盖面。截至</w:t>
      </w:r>
      <w:r>
        <w:rPr>
          <w:rFonts w:hint="eastAsia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 w:bidi="ar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 w:bidi="ar"/>
        </w:rPr>
        <w:t>25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日，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镇海应急管理微信公众号共计发布各类信息</w:t>
      </w:r>
      <w:r>
        <w:rPr>
          <w:rFonts w:hint="eastAsia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 w:bidi="ar"/>
        </w:rPr>
        <w:t>300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条。后因微信公众号评论数、阅读量未能有效提升，于</w:t>
      </w:r>
      <w:r>
        <w:rPr>
          <w:rFonts w:hint="eastAsia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 w:bidi="ar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 w:bidi="ar"/>
        </w:rPr>
        <w:t>25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日被注销停更。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/>
        </w:rPr>
        <w:t>（二）应急管理主要信息公开情况</w:t>
      </w:r>
    </w:p>
    <w:p>
      <w:pPr>
        <w:spacing w:line="560" w:lineRule="exact"/>
        <w:ind w:firstLine="544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 w:bidi="ar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年，根据行政执法三项制度，我局于年初公布全年执法计划，并于每月对安全生产行政执法计划企业名单予以公示，每季度对违法典型案例进行曝光。根据工作职能在重点时段及时公布相关信息,做好烟花爆竹禁放、森林防火、雨雪冰冻、台风等自然灾害预警信息发布工作。做好国际减灾日、安全生产月、平安建设、应急知识科普等宣传推广工作。在重大节假日期间发布安全生产信息提示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/>
        </w:rPr>
        <w:t>（三）依申请公开政府信息情况</w:t>
      </w:r>
    </w:p>
    <w:p>
      <w:pPr>
        <w:spacing w:line="560" w:lineRule="exact"/>
        <w:ind w:firstLine="544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 w:bidi="ar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年度我局收到</w:t>
      </w:r>
      <w:r>
        <w:rPr>
          <w:rFonts w:hint="eastAsia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申请公开事项，按规定予以答复，没有行政复议及行政诉讼情形。各类政府信息基本上实现了网上发布网上查询。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/>
        </w:rPr>
        <w:t>（四）政府信息公开收费及减免情况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全年政府信息公开无收费。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/>
        </w:rPr>
        <w:t>（五）因政府信息公开引起的投诉、申请行政复议、提起行政诉讼情况</w:t>
      </w:r>
    </w:p>
    <w:p>
      <w:pPr>
        <w:spacing w:line="330" w:lineRule="atLeast"/>
        <w:ind w:firstLine="544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4"/>
          <w:kern w:val="2"/>
          <w:sz w:val="28"/>
          <w:szCs w:val="28"/>
          <w:lang w:val="en-US" w:eastAsia="zh-CN" w:bidi="ar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年度未发生针对本部门有关政府信息公开事务的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投诉及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行政复议和行政诉讼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情况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</w:p>
    <w:p>
      <w:pPr>
        <w:numPr>
          <w:ilvl w:val="0"/>
          <w:numId w:val="0"/>
        </w:numPr>
        <w:spacing w:line="300" w:lineRule="exact"/>
        <w:ind w:firstLine="482" w:firstLineChars="200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00" w:lineRule="exac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二、主动公开政府信息情况</w:t>
      </w:r>
    </w:p>
    <w:tbl>
      <w:tblPr>
        <w:tblStyle w:val="7"/>
        <w:tblpPr w:leftFromText="180" w:rightFromText="180" w:vertAnchor="text" w:horzAnchor="page" w:tblpXSpec="center" w:tblpY="85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2435"/>
        <w:gridCol w:w="2435"/>
        <w:gridCol w:w="23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本年废止件数</w:t>
            </w:r>
          </w:p>
        </w:tc>
        <w:tc>
          <w:tcPr>
            <w:tcW w:w="2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  <w:t> </w:t>
            </w: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494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169</w:t>
            </w: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  <w:t>　</w:t>
            </w: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300" w:lineRule="exact"/>
        <w:ind w:firstLine="482" w:firstLineChars="20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00" w:lineRule="exac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三、收到和处理政府信息公开申请情况</w:t>
      </w:r>
    </w:p>
    <w:tbl>
      <w:tblPr>
        <w:tblStyle w:val="7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959"/>
        <w:gridCol w:w="2630"/>
        <w:gridCol w:w="642"/>
        <w:gridCol w:w="714"/>
        <w:gridCol w:w="714"/>
        <w:gridCol w:w="714"/>
        <w:gridCol w:w="714"/>
        <w:gridCol w:w="714"/>
        <w:gridCol w:w="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913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570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70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商业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科研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机构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</w:p>
        </w:tc>
        <w:tc>
          <w:tcPr>
            <w:tcW w:w="70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7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37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（三）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公开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tabs>
                <w:tab w:val="left" w:pos="210"/>
                <w:tab w:val="center" w:pos="360"/>
              </w:tabs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tabs>
                <w:tab w:val="center" w:pos="360"/>
                <w:tab w:val="left" w:pos="552"/>
              </w:tabs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3.其他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300" w:lineRule="exact"/>
        <w:ind w:firstLine="482" w:firstLineChars="20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00" w:lineRule="exact"/>
        <w:ind w:firstLine="560" w:firstLineChars="200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四、政府信息公开行政复议、行政诉讼情况</w:t>
      </w:r>
    </w:p>
    <w:tbl>
      <w:tblPr>
        <w:tblStyle w:val="7"/>
        <w:tblW w:w="936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35"/>
        <w:gridCol w:w="540"/>
        <w:gridCol w:w="649"/>
        <w:gridCol w:w="649"/>
        <w:gridCol w:w="650"/>
        <w:gridCol w:w="650"/>
        <w:gridCol w:w="576"/>
        <w:gridCol w:w="650"/>
        <w:gridCol w:w="650"/>
        <w:gridCol w:w="650"/>
        <w:gridCol w:w="650"/>
        <w:gridCol w:w="4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24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结果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审结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总计</w:t>
            </w:r>
          </w:p>
        </w:tc>
        <w:tc>
          <w:tcPr>
            <w:tcW w:w="3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审结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审结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300" w:lineRule="exact"/>
        <w:ind w:firstLine="482" w:firstLineChars="200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441"/>
        </w:tabs>
        <w:spacing w:line="300" w:lineRule="exact"/>
        <w:ind w:firstLine="560" w:firstLineChars="200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五、存在的主要问题及改进情况</w:t>
      </w:r>
    </w:p>
    <w:p>
      <w:pPr>
        <w:pStyle w:val="6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  <w:t>因微信公众号注销，造成应急宣传平台受限，对信息发布的时效性会造成一定影响。下步我们将重点做好与甬上、镇海发布、镇灵通等新闻媒体的协调配合，强化岗位职责，确保信息更新及时，内容准确生动。</w:t>
      </w:r>
    </w:p>
    <w:p>
      <w:pPr>
        <w:numPr>
          <w:ilvl w:val="0"/>
          <w:numId w:val="0"/>
        </w:numPr>
        <w:tabs>
          <w:tab w:val="left" w:pos="441"/>
        </w:tabs>
        <w:spacing w:line="300" w:lineRule="exact"/>
        <w:ind w:firstLine="560" w:firstLineChars="200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六、其他需要报告的事项</w:t>
      </w:r>
    </w:p>
    <w:p>
      <w:pPr>
        <w:pStyle w:val="6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  <w:t>我们将继续严格执行政府信息公开有关规定，依法保障公众知情权，维护政府信息公开工作秩序。</w:t>
      </w:r>
    </w:p>
    <w:p>
      <w:pPr>
        <w:pStyle w:val="6"/>
        <w:widowControl/>
        <w:tabs>
          <w:tab w:val="center" w:pos="4153"/>
          <w:tab w:val="right" w:pos="8426"/>
        </w:tabs>
        <w:spacing w:before="0" w:beforeAutospacing="0" w:after="0" w:afterAutospacing="0" w:line="432" w:lineRule="atLeas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ab/>
      </w:r>
    </w:p>
    <w:p>
      <w:pPr>
        <w:pStyle w:val="6"/>
        <w:widowControl/>
        <w:tabs>
          <w:tab w:val="center" w:pos="4153"/>
          <w:tab w:val="right" w:pos="8426"/>
        </w:tabs>
        <w:spacing w:before="0" w:beforeAutospacing="0" w:after="0" w:afterAutospacing="0" w:line="432" w:lineRule="atLeas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p>
      <w:pPr>
        <w:pStyle w:val="6"/>
        <w:widowControl/>
        <w:tabs>
          <w:tab w:val="center" w:pos="4153"/>
          <w:tab w:val="right" w:pos="8426"/>
        </w:tabs>
        <w:spacing w:before="0" w:beforeAutospacing="0" w:after="0" w:afterAutospacing="0" w:line="432" w:lineRule="atLeast"/>
        <w:ind w:firstLine="420"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  <w:t>宁波市镇海区应急管理局</w:t>
      </w:r>
    </w:p>
    <w:p>
      <w:pPr>
        <w:pStyle w:val="6"/>
        <w:widowControl/>
        <w:wordWrap w:val="0"/>
        <w:spacing w:before="0" w:beforeAutospacing="0" w:after="0" w:afterAutospacing="0" w:line="432" w:lineRule="atLeast"/>
        <w:ind w:firstLine="420"/>
        <w:jc w:val="right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-SA"/>
        </w:rPr>
        <w:t>2023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  <w:t>年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  <w:t>月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  <w:t>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 xml:space="preserve">   </w:t>
      </w:r>
    </w:p>
    <w:p>
      <w:pPr>
        <w:spacing w:line="560" w:lineRule="exact"/>
        <w:jc w:val="both"/>
        <w:rPr>
          <w:rFonts w:hint="eastAsia" w:ascii="方正小标宋简体" w:eastAsia="方正小标宋简体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773EF"/>
    <w:rsid w:val="0D8B458F"/>
    <w:rsid w:val="12606D19"/>
    <w:rsid w:val="1AC56327"/>
    <w:rsid w:val="1C812210"/>
    <w:rsid w:val="1DA414E8"/>
    <w:rsid w:val="1DC355FA"/>
    <w:rsid w:val="218B5D5D"/>
    <w:rsid w:val="2DCF568A"/>
    <w:rsid w:val="3293703E"/>
    <w:rsid w:val="33C01940"/>
    <w:rsid w:val="374B44B0"/>
    <w:rsid w:val="3A8F3BA6"/>
    <w:rsid w:val="3F435290"/>
    <w:rsid w:val="41E7726F"/>
    <w:rsid w:val="49AF3DC8"/>
    <w:rsid w:val="4DE07EB1"/>
    <w:rsid w:val="4DF773EF"/>
    <w:rsid w:val="5754265C"/>
    <w:rsid w:val="6094183D"/>
    <w:rsid w:val="63EE6889"/>
    <w:rsid w:val="66071836"/>
    <w:rsid w:val="7A8C02B0"/>
    <w:rsid w:val="7C063CA2"/>
    <w:rsid w:val="7D59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rFonts w:ascii="Tahoma" w:hAnsi="Tahoma" w:eastAsia="仿宋_GB2312"/>
      <w:sz w:val="32"/>
      <w:szCs w:val="32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 w:line="300" w:lineRule="auto"/>
      <w:ind w:left="0" w:leftChars="0"/>
    </w:pPr>
    <w:rPr>
      <w:rFonts w:hint="default" w:ascii="Calibri" w:hAnsi="Calibri"/>
      <w:i/>
      <w:sz w:val="21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hint="default"/>
      <w:sz w:val="21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Char Char Char Char Char Char Char"/>
    <w:basedOn w:val="1"/>
    <w:link w:val="8"/>
    <w:qFormat/>
    <w:uiPriority w:val="0"/>
    <w:pPr>
      <w:widowControl w:val="0"/>
    </w:pPr>
    <w:rPr>
      <w:rFonts w:ascii="Tahoma" w:hAnsi="Tahoma" w:eastAsia="仿宋_GB2312"/>
      <w:sz w:val="32"/>
      <w:szCs w:val="32"/>
    </w:rPr>
  </w:style>
  <w:style w:type="character" w:styleId="10">
    <w:name w:val="page number"/>
    <w:basedOn w:val="8"/>
    <w:qFormat/>
    <w:uiPriority w:val="0"/>
  </w:style>
  <w:style w:type="paragraph" w:customStyle="1" w:styleId="1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2023-01-04T08:50:00Z</dcterms:created>
  <dc:creator>区应急管理局</dc:creator>
  <cp:lastModifiedBy>区应急管理局</cp:lastModifiedBy>
  <cp:lastPrinted>2023-01-05T06:12:00Z</cp:lastPrinted>
  <dcterms:modified xsi:type="dcterms:W3CDTF">2023-01-18T06:36:41Z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