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kern w:val="0"/>
          <w:sz w:val="44"/>
          <w:szCs w:val="44"/>
          <w:lang w:eastAsia="zh-CN"/>
        </w:rPr>
      </w:pPr>
      <w:r>
        <w:rPr>
          <w:rFonts w:hint="eastAsia" w:ascii="方正小标宋简体" w:eastAsia="方正小标宋简体"/>
          <w:kern w:val="0"/>
          <w:sz w:val="44"/>
          <w:szCs w:val="44"/>
        </w:rPr>
        <w:t>宁波市镇海区</w:t>
      </w:r>
      <w:r>
        <w:rPr>
          <w:rFonts w:hint="eastAsia" w:ascii="方正小标宋简体" w:eastAsia="方正小标宋简体"/>
          <w:kern w:val="0"/>
          <w:sz w:val="44"/>
          <w:szCs w:val="44"/>
          <w:lang w:eastAsia="zh-CN"/>
        </w:rPr>
        <w:t>招商中心</w:t>
      </w:r>
    </w:p>
    <w:p>
      <w:pPr>
        <w:spacing w:line="560" w:lineRule="exact"/>
        <w:jc w:val="center"/>
        <w:rPr>
          <w:rFonts w:hint="eastAsia" w:ascii="方正小标宋简体" w:eastAsia="方正小标宋简体"/>
          <w:kern w:val="0"/>
          <w:sz w:val="44"/>
          <w:szCs w:val="44"/>
        </w:rPr>
      </w:pPr>
      <w:r>
        <w:rPr>
          <w:rFonts w:hint="eastAsia" w:ascii="方正小标宋简体" w:eastAsia="方正小标宋简体"/>
          <w:kern w:val="0"/>
          <w:sz w:val="44"/>
          <w:szCs w:val="44"/>
        </w:rPr>
        <w:t>202</w:t>
      </w:r>
      <w:r>
        <w:rPr>
          <w:rFonts w:hint="eastAsia" w:ascii="方正小标宋简体" w:eastAsia="方正小标宋简体"/>
          <w:kern w:val="0"/>
          <w:sz w:val="44"/>
          <w:szCs w:val="44"/>
          <w:lang w:val="en-US" w:eastAsia="zh-CN"/>
        </w:rPr>
        <w:t>3</w:t>
      </w:r>
      <w:r>
        <w:rPr>
          <w:rFonts w:hint="eastAsia" w:ascii="方正小标宋简体" w:eastAsia="方正小标宋简体"/>
          <w:kern w:val="0"/>
          <w:sz w:val="44"/>
          <w:szCs w:val="44"/>
        </w:rPr>
        <w:t>年度政府信息公开工作年度报告</w:t>
      </w:r>
    </w:p>
    <w:p>
      <w:pPr>
        <w:spacing w:line="500" w:lineRule="exact"/>
        <w:rPr>
          <w:rFonts w:hint="eastAsia"/>
          <w:sz w:val="21"/>
          <w:szCs w:val="21"/>
        </w:rPr>
      </w:pP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cs="Times New Roman"/>
          <w:color w:val="000000" w:themeColor="text1"/>
          <w:sz w:val="32"/>
          <w:szCs w:val="32"/>
          <w:lang w:eastAsia="zh-CN"/>
          <w14:textFill>
            <w14:solidFill>
              <w14:schemeClr w14:val="tx1"/>
            </w14:solidFill>
          </w14:textFill>
        </w:rPr>
      </w:pPr>
      <w:r>
        <w:rPr>
          <w:rFonts w:hint="eastAsia" w:ascii="Times New Roman" w:hAnsi="Times New Roman" w:cs="Times New Roman"/>
          <w:color w:val="000000" w:themeColor="text1"/>
          <w:sz w:val="32"/>
          <w:szCs w:val="32"/>
          <w:lang w:val="en-US" w:eastAsia="zh-CN"/>
          <w14:textFill>
            <w14:solidFill>
              <w14:schemeClr w14:val="tx1"/>
            </w14:solidFill>
          </w14:textFill>
        </w:rPr>
        <w:t>编制说明：本年度报告根据《中华人民共和国政府信息公开条例》（国务院令第711号）和</w:t>
      </w:r>
      <w:r>
        <w:rPr>
          <w:rFonts w:hint="eastAsia"/>
          <w:color w:val="000000" w:themeColor="text1"/>
          <w:spacing w:val="-4"/>
          <w:kern w:val="2"/>
          <w:sz w:val="32"/>
          <w:szCs w:val="32"/>
          <w:lang w:val="en-US" w:eastAsia="zh-CN"/>
          <w14:textFill>
            <w14:solidFill>
              <w14:schemeClr w14:val="tx1"/>
            </w14:solidFill>
          </w14:textFill>
        </w:rPr>
        <w:t>《国务院办公厅政府信息与政务公开办公室关于印发中华人民共和国政府信息公开工作年度报告格式的通知》（国办公开办函〔2021〕30号</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Times New Roman" w:hAnsi="Times New Roman" w:cs="Times New Roman"/>
          <w:color w:val="000000" w:themeColor="text1"/>
          <w:sz w:val="32"/>
          <w:szCs w:val="32"/>
          <w:lang w:val="en-US" w:eastAsia="zh-CN"/>
          <w14:textFill>
            <w14:solidFill>
              <w14:schemeClr w14:val="tx1"/>
            </w14:solidFill>
          </w14:textFill>
        </w:rPr>
        <w:t>要求，结合宁波市镇海区招商中心202</w:t>
      </w:r>
      <w:r>
        <w:rPr>
          <w:rFonts w:hint="eastAsia" w:cs="Times New Roman"/>
          <w:color w:val="000000" w:themeColor="text1"/>
          <w:sz w:val="32"/>
          <w:szCs w:val="32"/>
          <w:lang w:val="en-US" w:eastAsia="zh-CN"/>
          <w14:textFill>
            <w14:solidFill>
              <w14:schemeClr w14:val="tx1"/>
            </w14:solidFill>
          </w14:textFill>
        </w:rPr>
        <w:t>3</w:t>
      </w:r>
      <w:r>
        <w:rPr>
          <w:rFonts w:hint="eastAsia" w:ascii="Times New Roman" w:hAnsi="Times New Roman" w:cs="Times New Roman"/>
          <w:color w:val="000000" w:themeColor="text1"/>
          <w:sz w:val="32"/>
          <w:szCs w:val="32"/>
          <w:lang w:val="en-US" w:eastAsia="zh-CN"/>
          <w14:textFill>
            <w14:solidFill>
              <w14:schemeClr w14:val="tx1"/>
            </w14:solidFill>
          </w14:textFill>
        </w:rPr>
        <w:t>年度政府信息公开工作实际编制。全文包含</w:t>
      </w:r>
      <w:r>
        <w:rPr>
          <w:rFonts w:hint="eastAsia"/>
          <w:color w:val="000000" w:themeColor="text1"/>
          <w:spacing w:val="-4"/>
          <w:kern w:val="2"/>
          <w:sz w:val="32"/>
          <w:szCs w:val="32"/>
          <w:lang w:val="en-US" w:eastAsia="zh-CN"/>
          <w14:textFill>
            <w14:solidFill>
              <w14:schemeClr w14:val="tx1"/>
            </w14:solidFill>
          </w14:textFill>
        </w:rPr>
        <w:t>总体情况、主动公开政府信息情况、收到和处理政府信息公开申请情况、政府信息公开行政复议和行政诉讼情况、存在的主要问题及改进情况、其他需要报告的事项</w:t>
      </w:r>
      <w:r>
        <w:rPr>
          <w:rFonts w:hint="eastAsia" w:ascii="Times New Roman" w:hAnsi="Times New Roman" w:cs="Times New Roman"/>
          <w:color w:val="000000" w:themeColor="text1"/>
          <w:sz w:val="32"/>
          <w:szCs w:val="32"/>
          <w:lang w:val="en-US" w:eastAsia="zh-CN"/>
          <w14:textFill>
            <w14:solidFill>
              <w14:schemeClr w14:val="tx1"/>
            </w14:solidFill>
          </w14:textFill>
        </w:rPr>
        <w:t>六个方面。</w:t>
      </w:r>
      <w:r>
        <w:rPr>
          <w:rFonts w:hint="eastAsia" w:ascii="Times New Roman" w:hAnsi="Times New Roman" w:cs="Times New Roman"/>
          <w:color w:val="000000" w:themeColor="text1"/>
          <w:sz w:val="32"/>
          <w:szCs w:val="32"/>
          <w:lang w:eastAsia="zh-CN"/>
          <w14:textFill>
            <w14:solidFill>
              <w14:schemeClr w14:val="tx1"/>
            </w14:solidFill>
          </w14:textFill>
        </w:rPr>
        <w:t>本报告中所列数据的统计期限从202</w:t>
      </w:r>
      <w:r>
        <w:rPr>
          <w:rFonts w:hint="eastAsia" w:cs="Times New Roman"/>
          <w:color w:val="000000" w:themeColor="text1"/>
          <w:sz w:val="32"/>
          <w:szCs w:val="32"/>
          <w:lang w:val="en-US" w:eastAsia="zh-CN"/>
          <w14:textFill>
            <w14:solidFill>
              <w14:schemeClr w14:val="tx1"/>
            </w14:solidFill>
          </w14:textFill>
        </w:rPr>
        <w:t>3</w:t>
      </w:r>
      <w:r>
        <w:rPr>
          <w:rFonts w:hint="eastAsia" w:ascii="Times New Roman" w:hAnsi="Times New Roman" w:cs="Times New Roman"/>
          <w:color w:val="000000" w:themeColor="text1"/>
          <w:sz w:val="32"/>
          <w:szCs w:val="32"/>
          <w:lang w:eastAsia="zh-CN"/>
          <w14:textFill>
            <w14:solidFill>
              <w14:schemeClr w14:val="tx1"/>
            </w14:solidFill>
          </w14:textFill>
        </w:rPr>
        <w:t>年1月1日到1</w:t>
      </w:r>
      <w:r>
        <w:rPr>
          <w:rFonts w:hint="eastAsia" w:ascii="Times New Roman" w:hAnsi="Times New Roman" w:cs="Times New Roman"/>
          <w:color w:val="000000" w:themeColor="text1"/>
          <w:sz w:val="32"/>
          <w:szCs w:val="32"/>
          <w:lang w:val="en-US" w:eastAsia="zh-CN"/>
          <w14:textFill>
            <w14:solidFill>
              <w14:schemeClr w14:val="tx1"/>
            </w14:solidFill>
          </w14:textFill>
        </w:rPr>
        <w:t>2</w:t>
      </w:r>
      <w:r>
        <w:rPr>
          <w:rFonts w:hint="eastAsia" w:ascii="Times New Roman" w:hAnsi="Times New Roman" w:cs="Times New Roman"/>
          <w:color w:val="000000" w:themeColor="text1"/>
          <w:sz w:val="32"/>
          <w:szCs w:val="32"/>
          <w:lang w:eastAsia="zh-CN"/>
          <w14:textFill>
            <w14:solidFill>
              <w14:schemeClr w14:val="tx1"/>
            </w14:solidFill>
          </w14:textFill>
        </w:rPr>
        <w:t>月31日止。</w:t>
      </w:r>
      <w:r>
        <w:rPr>
          <w:rFonts w:hint="eastAsia" w:ascii="仿宋_GB2312" w:hAnsi="华文中宋" w:eastAsia="仿宋_GB2312"/>
          <w:color w:val="000000" w:themeColor="text1"/>
          <w:sz w:val="32"/>
          <w:szCs w:val="32"/>
          <w14:textFill>
            <w14:solidFill>
              <w14:schemeClr w14:val="tx1"/>
            </w14:solidFill>
          </w14:textFill>
        </w:rPr>
        <w:t>现将</w:t>
      </w:r>
      <w:r>
        <w:rPr>
          <w:rFonts w:hint="eastAsia" w:ascii="仿宋_GB2312" w:hAnsi="华文中宋"/>
          <w:color w:val="000000" w:themeColor="text1"/>
          <w:sz w:val="32"/>
          <w:szCs w:val="32"/>
          <w:lang w:eastAsia="zh-CN"/>
          <w14:textFill>
            <w14:solidFill>
              <w14:schemeClr w14:val="tx1"/>
            </w14:solidFill>
          </w14:textFill>
        </w:rPr>
        <w:t>本单位</w:t>
      </w:r>
      <w:r>
        <w:rPr>
          <w:rFonts w:hint="eastAsia" w:ascii="仿宋_GB2312" w:hAnsi="华文中宋" w:eastAsia="仿宋_GB2312"/>
          <w:color w:val="000000" w:themeColor="text1"/>
          <w:sz w:val="32"/>
          <w:szCs w:val="32"/>
          <w14:textFill>
            <w14:solidFill>
              <w14:schemeClr w14:val="tx1"/>
            </w14:solidFill>
          </w14:textFill>
        </w:rPr>
        <w:t>一年来</w:t>
      </w:r>
      <w:r>
        <w:rPr>
          <w:rFonts w:hint="eastAsia" w:ascii="仿宋_GB2312" w:hAnsi="华文中宋"/>
          <w:color w:val="000000" w:themeColor="text1"/>
          <w:sz w:val="32"/>
          <w:szCs w:val="32"/>
          <w:lang w:eastAsia="zh-CN"/>
          <w14:textFill>
            <w14:solidFill>
              <w14:schemeClr w14:val="tx1"/>
            </w14:solidFill>
          </w14:textFill>
        </w:rPr>
        <w:t>政府信息</w:t>
      </w:r>
      <w:r>
        <w:rPr>
          <w:rFonts w:hint="eastAsia" w:ascii="仿宋_GB2312" w:hAnsi="华文中宋" w:eastAsia="仿宋_GB2312"/>
          <w:color w:val="000000" w:themeColor="text1"/>
          <w:sz w:val="32"/>
          <w:szCs w:val="32"/>
          <w14:textFill>
            <w14:solidFill>
              <w14:schemeClr w14:val="tx1"/>
            </w14:solidFill>
          </w14:textFill>
        </w:rPr>
        <w:t>公开情况报告如下：</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一、总体情况</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24" w:firstLineChars="200"/>
        <w:jc w:val="both"/>
        <w:textAlignment w:val="auto"/>
        <w:rPr>
          <w:rFonts w:hint="eastAsia" w:ascii="Times New Roman" w:hAnsi="Times New Roman" w:eastAsia="仿宋_GB2312" w:cs="Times New Roman"/>
          <w:color w:val="000000" w:themeColor="text1"/>
          <w:spacing w:val="-4"/>
          <w:kern w:val="2"/>
          <w:sz w:val="32"/>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spacing w:val="-4"/>
          <w:kern w:val="2"/>
          <w:sz w:val="32"/>
          <w:szCs w:val="32"/>
          <w:lang w:val="en-US" w:eastAsia="zh-CN" w:bidi="ar-SA"/>
          <w14:textFill>
            <w14:solidFill>
              <w14:schemeClr w14:val="tx1"/>
            </w14:solidFill>
          </w14:textFill>
        </w:rPr>
        <w:t>202</w:t>
      </w:r>
      <w:r>
        <w:rPr>
          <w:rFonts w:hint="eastAsia" w:cs="Times New Roman"/>
          <w:color w:val="000000" w:themeColor="text1"/>
          <w:spacing w:val="-4"/>
          <w:kern w:val="2"/>
          <w:sz w:val="32"/>
          <w:szCs w:val="32"/>
          <w:lang w:val="en-US" w:eastAsia="zh-CN" w:bidi="ar-SA"/>
          <w14:textFill>
            <w14:solidFill>
              <w14:schemeClr w14:val="tx1"/>
            </w14:solidFill>
          </w14:textFill>
        </w:rPr>
        <w:t>3</w:t>
      </w:r>
      <w:r>
        <w:rPr>
          <w:rFonts w:hint="eastAsia" w:ascii="Times New Roman" w:hAnsi="Times New Roman" w:eastAsia="仿宋_GB2312" w:cs="Times New Roman"/>
          <w:color w:val="000000" w:themeColor="text1"/>
          <w:spacing w:val="-4"/>
          <w:kern w:val="2"/>
          <w:sz w:val="32"/>
          <w:szCs w:val="32"/>
          <w:lang w:val="en-US" w:eastAsia="zh-CN" w:bidi="ar-SA"/>
          <w14:textFill>
            <w14:solidFill>
              <w14:schemeClr w14:val="tx1"/>
            </w14:solidFill>
          </w14:textFill>
        </w:rPr>
        <w:t>年，</w:t>
      </w:r>
      <w:r>
        <w:rPr>
          <w:rFonts w:hint="eastAsia" w:cs="Times New Roman"/>
          <w:color w:val="000000" w:themeColor="text1"/>
          <w:spacing w:val="-4"/>
          <w:kern w:val="2"/>
          <w:sz w:val="32"/>
          <w:szCs w:val="32"/>
          <w:lang w:val="en-US" w:eastAsia="zh-CN" w:bidi="ar-SA"/>
          <w14:textFill>
            <w14:solidFill>
              <w14:schemeClr w14:val="tx1"/>
            </w14:solidFill>
          </w14:textFill>
        </w:rPr>
        <w:t>区招商中心</w:t>
      </w:r>
      <w:r>
        <w:rPr>
          <w:rFonts w:hint="eastAsia" w:ascii="Times New Roman" w:hAnsi="Times New Roman" w:eastAsia="仿宋_GB2312" w:cs="Times New Roman"/>
          <w:color w:val="000000" w:themeColor="text1"/>
          <w:spacing w:val="-4"/>
          <w:kern w:val="2"/>
          <w:sz w:val="32"/>
          <w:szCs w:val="32"/>
          <w:lang w:val="en-US" w:eastAsia="zh-CN" w:bidi="ar-SA"/>
          <w14:textFill>
            <w14:solidFill>
              <w14:schemeClr w14:val="tx1"/>
            </w14:solidFill>
          </w14:textFill>
        </w:rPr>
        <w:t>认真贯彻《中华人民共和国政府信息公开条例》和国务院办公厅信息公开办《中华人民共和国政府信息公开工作年度报告格式》（国办公开办函〔2021〕30号）等文件精神,按照</w:t>
      </w:r>
      <w:r>
        <w:rPr>
          <w:rFonts w:hint="eastAsia" w:cs="Times New Roman"/>
          <w:color w:val="000000" w:themeColor="text1"/>
          <w:spacing w:val="-4"/>
          <w:kern w:val="2"/>
          <w:sz w:val="32"/>
          <w:szCs w:val="32"/>
          <w:lang w:val="en-US" w:eastAsia="zh-CN" w:bidi="ar-SA"/>
          <w14:textFill>
            <w14:solidFill>
              <w14:schemeClr w14:val="tx1"/>
            </w14:solidFill>
          </w14:textFill>
        </w:rPr>
        <w:t>省市区</w:t>
      </w:r>
      <w:r>
        <w:rPr>
          <w:rFonts w:hint="eastAsia" w:ascii="Times New Roman" w:hAnsi="Times New Roman" w:eastAsia="仿宋_GB2312" w:cs="Times New Roman"/>
          <w:color w:val="000000" w:themeColor="text1"/>
          <w:spacing w:val="-4"/>
          <w:kern w:val="2"/>
          <w:sz w:val="32"/>
          <w:szCs w:val="32"/>
          <w:lang w:val="en-US" w:eastAsia="zh-CN" w:bidi="ar-SA"/>
          <w14:textFill>
            <w14:solidFill>
              <w14:schemeClr w14:val="tx1"/>
            </w14:solidFill>
          </w14:textFill>
        </w:rPr>
        <w:t>有关</w:t>
      </w:r>
      <w:r>
        <w:rPr>
          <w:rFonts w:hint="eastAsia" w:cs="Times New Roman"/>
          <w:color w:val="000000" w:themeColor="text1"/>
          <w:spacing w:val="-4"/>
          <w:kern w:val="2"/>
          <w:sz w:val="32"/>
          <w:szCs w:val="32"/>
          <w:lang w:val="en-US" w:eastAsia="zh-CN" w:bidi="ar-SA"/>
          <w14:textFill>
            <w14:solidFill>
              <w14:schemeClr w14:val="tx1"/>
            </w14:solidFill>
          </w14:textFill>
        </w:rPr>
        <w:t>政府信息公开的工作部署</w:t>
      </w:r>
      <w:r>
        <w:rPr>
          <w:rFonts w:hint="eastAsia" w:ascii="Times New Roman" w:hAnsi="Times New Roman" w:eastAsia="仿宋_GB2312" w:cs="Times New Roman"/>
          <w:color w:val="000000" w:themeColor="text1"/>
          <w:spacing w:val="-4"/>
          <w:kern w:val="2"/>
          <w:sz w:val="32"/>
          <w:szCs w:val="32"/>
          <w:lang w:val="en-US" w:eastAsia="zh-CN" w:bidi="ar-SA"/>
          <w14:textFill>
            <w14:solidFill>
              <w14:schemeClr w14:val="tx1"/>
            </w14:solidFill>
          </w14:textFill>
        </w:rPr>
        <w:t>要求</w:t>
      </w:r>
      <w:r>
        <w:rPr>
          <w:rFonts w:hint="eastAsia" w:cs="Times New Roman"/>
          <w:color w:val="000000" w:themeColor="text1"/>
          <w:spacing w:val="-4"/>
          <w:kern w:val="2"/>
          <w:sz w:val="32"/>
          <w:szCs w:val="32"/>
          <w:lang w:val="en-US" w:eastAsia="zh-CN" w:bidi="ar-SA"/>
          <w14:textFill>
            <w14:solidFill>
              <w14:schemeClr w14:val="tx1"/>
            </w14:solidFill>
          </w14:textFill>
        </w:rPr>
        <w:t>，切实加强组织领导，建立健全工作机制，拓展优化公开渠道，深化规范公开内容，着力推进重点领域公开，有效提升政府信息公开工作水平。</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3" w:firstLineChars="200"/>
        <w:jc w:val="both"/>
        <w:textAlignment w:val="auto"/>
        <w:rPr>
          <w:rFonts w:hint="eastAsia" w:ascii="楷体_GB2312" w:hAnsi="楷体_GB2312" w:eastAsia="楷体_GB2312" w:cs="楷体_GB2312"/>
          <w:b/>
          <w:bCs/>
          <w:color w:val="000000" w:themeColor="text1"/>
          <w:sz w:val="32"/>
          <w:szCs w:val="32"/>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（一）主动公开情况</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Times New Roman" w:hAnsi="Times New Roman" w:cs="Times New Roman"/>
          <w:color w:val="000000" w:themeColor="text1"/>
          <w:sz w:val="32"/>
          <w:szCs w:val="32"/>
          <w:lang w:val="en-US" w:eastAsia="zh-CN"/>
          <w14:textFill>
            <w14:solidFill>
              <w14:schemeClr w14:val="tx1"/>
            </w14:solidFill>
          </w14:textFill>
        </w:rPr>
      </w:pPr>
      <w:r>
        <w:rPr>
          <w:rFonts w:hint="eastAsia" w:ascii="Times New Roman" w:hAnsi="Times New Roman" w:cs="Times New Roman"/>
          <w:color w:val="000000" w:themeColor="text1"/>
          <w:sz w:val="32"/>
          <w:szCs w:val="32"/>
          <w:lang w:eastAsia="zh-CN"/>
          <w14:textFill>
            <w14:solidFill>
              <w14:schemeClr w14:val="tx1"/>
            </w14:solidFill>
          </w14:textFill>
        </w:rPr>
        <w:t>主动公开政府信息</w:t>
      </w:r>
      <w:r>
        <w:rPr>
          <w:rFonts w:hint="eastAsia" w:cs="Times New Roman"/>
          <w:color w:val="000000" w:themeColor="text1"/>
          <w:sz w:val="32"/>
          <w:szCs w:val="32"/>
          <w:lang w:val="en-US" w:eastAsia="zh-CN"/>
          <w14:textFill>
            <w14:solidFill>
              <w14:schemeClr w14:val="tx1"/>
            </w14:solidFill>
          </w14:textFill>
        </w:rPr>
        <w:t>178</w:t>
      </w:r>
      <w:r>
        <w:rPr>
          <w:rFonts w:hint="eastAsia" w:ascii="Times New Roman" w:hAnsi="Times New Roman" w:cs="Times New Roman"/>
          <w:color w:val="000000" w:themeColor="text1"/>
          <w:sz w:val="32"/>
          <w:szCs w:val="32"/>
          <w:lang w:eastAsia="zh-CN"/>
          <w14:textFill>
            <w14:solidFill>
              <w14:schemeClr w14:val="tx1"/>
            </w14:solidFill>
          </w14:textFill>
        </w:rPr>
        <w:t>条，其中</w:t>
      </w:r>
      <w:r>
        <w:rPr>
          <w:rFonts w:hint="eastAsia" w:ascii="Times New Roman" w:hAnsi="Times New Roman" w:cs="Times New Roman"/>
          <w:color w:val="000000" w:themeColor="text1"/>
          <w:sz w:val="32"/>
          <w:szCs w:val="32"/>
          <w:lang w:val="en-US" w:eastAsia="zh-CN"/>
          <w14:textFill>
            <w14:solidFill>
              <w14:schemeClr w14:val="tx1"/>
            </w14:solidFill>
          </w14:textFill>
        </w:rPr>
        <w:t>政府网站公开</w:t>
      </w:r>
      <w:r>
        <w:rPr>
          <w:rFonts w:hint="eastAsia" w:cs="Times New Roman"/>
          <w:color w:val="000000" w:themeColor="text1"/>
          <w:sz w:val="32"/>
          <w:szCs w:val="32"/>
          <w:lang w:val="en-US" w:eastAsia="zh-CN"/>
          <w14:textFill>
            <w14:solidFill>
              <w14:schemeClr w14:val="tx1"/>
            </w14:solidFill>
          </w14:textFill>
        </w:rPr>
        <w:t>8</w:t>
      </w:r>
      <w:r>
        <w:rPr>
          <w:rFonts w:hint="eastAsia" w:ascii="Times New Roman" w:hAnsi="Times New Roman" w:cs="Times New Roman"/>
          <w:color w:val="000000" w:themeColor="text1"/>
          <w:sz w:val="32"/>
          <w:szCs w:val="32"/>
          <w:lang w:val="en-US" w:eastAsia="zh-CN"/>
          <w14:textFill>
            <w14:solidFill>
              <w14:schemeClr w14:val="tx1"/>
            </w14:solidFill>
          </w14:textFill>
        </w:rPr>
        <w:t>条，</w:t>
      </w:r>
      <w:r>
        <w:rPr>
          <w:rFonts w:hint="eastAsia" w:cs="Times New Roman"/>
          <w:color w:val="000000" w:themeColor="text1"/>
          <w:sz w:val="32"/>
          <w:szCs w:val="32"/>
          <w:lang w:val="en-US" w:eastAsia="zh-CN"/>
          <w14:textFill>
            <w14:solidFill>
              <w14:schemeClr w14:val="tx1"/>
            </w14:solidFill>
          </w14:textFill>
        </w:rPr>
        <w:t>镇灵通信息专栏145条</w:t>
      </w:r>
      <w:r>
        <w:rPr>
          <w:rFonts w:hint="eastAsia" w:ascii="Times New Roman" w:hAnsi="Times New Roman" w:cs="Times New Roman"/>
          <w:color w:val="000000" w:themeColor="text1"/>
          <w:sz w:val="32"/>
          <w:szCs w:val="32"/>
          <w:lang w:val="en-US" w:eastAsia="zh-CN"/>
          <w14:textFill>
            <w14:solidFill>
              <w14:schemeClr w14:val="tx1"/>
            </w14:solidFill>
          </w14:textFill>
        </w:rPr>
        <w:t>，在</w:t>
      </w:r>
      <w:r>
        <w:rPr>
          <w:rFonts w:hint="eastAsia" w:cs="Times New Roman"/>
          <w:color w:val="000000" w:themeColor="text1"/>
          <w:sz w:val="32"/>
          <w:szCs w:val="32"/>
          <w:lang w:val="en-US" w:eastAsia="zh-CN"/>
          <w14:textFill>
            <w14:solidFill>
              <w14:schemeClr w14:val="tx1"/>
            </w14:solidFill>
          </w14:textFill>
        </w:rPr>
        <w:t>浙江日报、宁波日报、今日镇海</w:t>
      </w:r>
      <w:r>
        <w:rPr>
          <w:rFonts w:hint="eastAsia" w:ascii="Times New Roman" w:hAnsi="Times New Roman" w:cs="Times New Roman"/>
          <w:color w:val="000000" w:themeColor="text1"/>
          <w:sz w:val="32"/>
          <w:szCs w:val="32"/>
          <w:lang w:val="en-US" w:eastAsia="zh-CN"/>
          <w14:textFill>
            <w14:solidFill>
              <w14:schemeClr w14:val="tx1"/>
            </w14:solidFill>
          </w14:textFill>
        </w:rPr>
        <w:t>等媒体平台公开</w:t>
      </w:r>
      <w:r>
        <w:rPr>
          <w:rFonts w:hint="eastAsia" w:cs="Times New Roman"/>
          <w:color w:val="000000" w:themeColor="text1"/>
          <w:sz w:val="32"/>
          <w:szCs w:val="32"/>
          <w:lang w:val="en-US" w:eastAsia="zh-CN"/>
          <w14:textFill>
            <w14:solidFill>
              <w14:schemeClr w14:val="tx1"/>
            </w14:solidFill>
          </w14:textFill>
        </w:rPr>
        <w:t>25</w:t>
      </w:r>
      <w:r>
        <w:rPr>
          <w:rFonts w:hint="eastAsia" w:ascii="Times New Roman" w:hAnsi="Times New Roman" w:cs="Times New Roman"/>
          <w:color w:val="000000" w:themeColor="text1"/>
          <w:sz w:val="32"/>
          <w:szCs w:val="32"/>
          <w:lang w:val="en-US" w:eastAsia="zh-CN"/>
          <w14:textFill>
            <w14:solidFill>
              <w14:schemeClr w14:val="tx1"/>
            </w14:solidFill>
          </w14:textFill>
        </w:rPr>
        <w:t>条。</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3" w:firstLineChars="200"/>
        <w:jc w:val="both"/>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（二）依申请公开情况</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Times New Roman" w:hAnsi="Times New Roman" w:cs="Times New Roman"/>
          <w:color w:val="000000" w:themeColor="text1"/>
          <w:sz w:val="32"/>
          <w:szCs w:val="32"/>
          <w:lang w:val="en-US" w:eastAsia="zh-CN"/>
          <w14:textFill>
            <w14:solidFill>
              <w14:schemeClr w14:val="tx1"/>
            </w14:solidFill>
          </w14:textFill>
        </w:rPr>
      </w:pPr>
      <w:r>
        <w:rPr>
          <w:rFonts w:hint="eastAsia" w:ascii="Times New Roman" w:hAnsi="Times New Roman" w:cs="Times New Roman"/>
          <w:color w:val="000000" w:themeColor="text1"/>
          <w:sz w:val="32"/>
          <w:szCs w:val="32"/>
          <w:lang w:val="en-US" w:eastAsia="zh-CN"/>
          <w14:textFill>
            <w14:solidFill>
              <w14:schemeClr w14:val="tx1"/>
            </w14:solidFill>
          </w14:textFill>
        </w:rPr>
        <w:t>202</w:t>
      </w:r>
      <w:r>
        <w:rPr>
          <w:rFonts w:hint="eastAsia" w:cs="Times New Roman"/>
          <w:color w:val="000000" w:themeColor="text1"/>
          <w:sz w:val="32"/>
          <w:szCs w:val="32"/>
          <w:lang w:val="en-US" w:eastAsia="zh-CN"/>
          <w14:textFill>
            <w14:solidFill>
              <w14:schemeClr w14:val="tx1"/>
            </w14:solidFill>
          </w14:textFill>
        </w:rPr>
        <w:t>3</w:t>
      </w:r>
      <w:r>
        <w:rPr>
          <w:rFonts w:hint="eastAsia" w:ascii="Times New Roman" w:hAnsi="Times New Roman" w:cs="Times New Roman"/>
          <w:color w:val="000000" w:themeColor="text1"/>
          <w:sz w:val="32"/>
          <w:szCs w:val="32"/>
          <w:lang w:val="en-US" w:eastAsia="zh-CN"/>
          <w14:textFill>
            <w14:solidFill>
              <w14:schemeClr w14:val="tx1"/>
            </w14:solidFill>
          </w14:textFill>
        </w:rPr>
        <w:t>年未收到政府信息公开申请。</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3"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（三）政府信息管理情况</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cs="仿宋_GB2312"/>
          <w:color w:val="000000" w:themeColor="text1"/>
          <w:sz w:val="32"/>
          <w:szCs w:val="32"/>
          <w:lang w:eastAsia="zh-CN"/>
          <w14:textFill>
            <w14:solidFill>
              <w14:schemeClr w14:val="tx1"/>
            </w14:solidFill>
          </w14:textFill>
        </w:rPr>
        <w:t>为</w:t>
      </w:r>
      <w:r>
        <w:rPr>
          <w:rFonts w:hint="eastAsia" w:ascii="仿宋_GB2312" w:hAnsi="仿宋_GB2312" w:eastAsia="仿宋_GB2312" w:cs="仿宋_GB2312"/>
          <w:color w:val="000000" w:themeColor="text1"/>
          <w:sz w:val="32"/>
          <w:szCs w:val="32"/>
          <w14:textFill>
            <w14:solidFill>
              <w14:schemeClr w14:val="tx1"/>
            </w14:solidFill>
          </w14:textFill>
        </w:rPr>
        <w:t>保障公民、法人和其他组织依法获取</w:t>
      </w:r>
      <w:r>
        <w:rPr>
          <w:rFonts w:hint="eastAsia" w:ascii="仿宋_GB2312" w:hAnsi="仿宋_GB2312" w:cs="仿宋_GB2312"/>
          <w:color w:val="000000" w:themeColor="text1"/>
          <w:sz w:val="32"/>
          <w:szCs w:val="32"/>
          <w:lang w:eastAsia="zh-CN"/>
          <w14:textFill>
            <w14:solidFill>
              <w14:schemeClr w14:val="tx1"/>
            </w14:solidFill>
          </w14:textFill>
        </w:rPr>
        <w:t>招商工作信息，中心重点运用政务信息的发布平台，</w:t>
      </w:r>
      <w:r>
        <w:rPr>
          <w:rFonts w:hint="eastAsia" w:ascii="仿宋_GB2312" w:hAnsi="仿宋_GB2312" w:eastAsia="仿宋_GB2312" w:cs="仿宋_GB2312"/>
          <w:color w:val="000000" w:themeColor="text1"/>
          <w:sz w:val="32"/>
          <w:szCs w:val="32"/>
          <w14:textFill>
            <w14:solidFill>
              <w14:schemeClr w14:val="tx1"/>
            </w14:solidFill>
          </w14:textFill>
        </w:rPr>
        <w:t>建立本</w:t>
      </w:r>
      <w:r>
        <w:rPr>
          <w:rFonts w:hint="eastAsia" w:ascii="仿宋_GB2312" w:hAnsi="仿宋_GB2312" w:eastAsia="仿宋_GB2312" w:cs="仿宋_GB2312"/>
          <w:color w:val="000000" w:themeColor="text1"/>
          <w:sz w:val="32"/>
          <w:szCs w:val="32"/>
          <w:lang w:eastAsia="zh-CN"/>
          <w14:textFill>
            <w14:solidFill>
              <w14:schemeClr w14:val="tx1"/>
            </w14:solidFill>
          </w14:textFill>
        </w:rPr>
        <w:t>中心</w:t>
      </w:r>
      <w:r>
        <w:rPr>
          <w:rFonts w:hint="eastAsia" w:ascii="仿宋_GB2312" w:hAnsi="仿宋_GB2312" w:eastAsia="仿宋_GB2312" w:cs="仿宋_GB2312"/>
          <w:color w:val="000000" w:themeColor="text1"/>
          <w:sz w:val="32"/>
          <w:szCs w:val="32"/>
          <w14:textFill>
            <w14:solidFill>
              <w14:schemeClr w14:val="tx1"/>
            </w14:solidFill>
          </w14:textFill>
        </w:rPr>
        <w:t>政府信息公开的目录和指南</w:t>
      </w:r>
      <w:r>
        <w:rPr>
          <w:rFonts w:hint="eastAsia" w:ascii="仿宋_GB2312" w:hAnsi="仿宋_GB2312" w:cs="仿宋_GB2312"/>
          <w:color w:val="000000" w:themeColor="text1"/>
          <w:sz w:val="32"/>
          <w:szCs w:val="32"/>
          <w:lang w:eastAsia="zh-CN"/>
          <w14:textFill>
            <w14:solidFill>
              <w14:schemeClr w14:val="tx1"/>
            </w14:solidFill>
          </w14:textFill>
        </w:rPr>
        <w:t>，科学设定发布栏目，</w:t>
      </w:r>
      <w:r>
        <w:rPr>
          <w:rFonts w:hint="eastAsia" w:ascii="仿宋_GB2312" w:hAnsi="宋体" w:cs="仿宋_GB2312"/>
          <w:i w:val="0"/>
          <w:caps w:val="0"/>
          <w:color w:val="000000" w:themeColor="text1"/>
          <w:spacing w:val="0"/>
          <w:sz w:val="32"/>
          <w:szCs w:val="32"/>
          <w:lang w:val="en-US" w:eastAsia="zh-CN"/>
          <w14:textFill>
            <w14:solidFill>
              <w14:schemeClr w14:val="tx1"/>
            </w14:solidFill>
          </w14:textFill>
        </w:rPr>
        <w:t>定期对工作情况、人事变动、财务预决算以及专项工作等重要信息进行发布</w:t>
      </w:r>
      <w:r>
        <w:rPr>
          <w:rFonts w:ascii="仿宋_GB2312" w:hAnsi="宋体" w:eastAsia="仿宋_GB2312" w:cs="仿宋_GB2312"/>
          <w:i w:val="0"/>
          <w:caps w:val="0"/>
          <w:color w:val="000000" w:themeColor="text1"/>
          <w:spacing w:val="0"/>
          <w:sz w:val="32"/>
          <w:szCs w:val="32"/>
          <w14:textFill>
            <w14:solidFill>
              <w14:schemeClr w14:val="tx1"/>
            </w14:solidFill>
          </w14:textFill>
        </w:rPr>
        <w:t>，接受社会监督，满足公众对行业信息需求。</w:t>
      </w:r>
      <w:r>
        <w:rPr>
          <w:rFonts w:hint="eastAsia" w:ascii="仿宋_GB2312" w:hAnsi="宋体" w:cs="仿宋_GB2312"/>
          <w:i w:val="0"/>
          <w:caps w:val="0"/>
          <w:color w:val="000000" w:themeColor="text1"/>
          <w:spacing w:val="0"/>
          <w:sz w:val="32"/>
          <w:szCs w:val="32"/>
          <w:lang w:eastAsia="zh-CN"/>
          <w14:textFill>
            <w14:solidFill>
              <w14:schemeClr w14:val="tx1"/>
            </w14:solidFill>
          </w14:textFill>
        </w:rPr>
        <w:t>同时</w:t>
      </w:r>
      <w:r>
        <w:rPr>
          <w:rFonts w:ascii="仿宋_GB2312" w:hAnsi="宋体" w:eastAsia="仿宋_GB2312" w:cs="仿宋_GB2312"/>
          <w:i w:val="0"/>
          <w:caps w:val="0"/>
          <w:color w:val="000000" w:themeColor="text1"/>
          <w:spacing w:val="0"/>
          <w:sz w:val="32"/>
          <w:szCs w:val="32"/>
          <w14:textFill>
            <w14:solidFill>
              <w14:schemeClr w14:val="tx1"/>
            </w14:solidFill>
          </w14:textFill>
        </w:rPr>
        <w:t>加强对公开信息的保密审查，</w:t>
      </w:r>
      <w:r>
        <w:rPr>
          <w:rFonts w:hint="eastAsia" w:ascii="仿宋_GB2312" w:hAnsi="宋体" w:cs="仿宋_GB2312"/>
          <w:i w:val="0"/>
          <w:caps w:val="0"/>
          <w:color w:val="000000" w:themeColor="text1"/>
          <w:spacing w:val="0"/>
          <w:sz w:val="32"/>
          <w:szCs w:val="32"/>
          <w:lang w:eastAsia="zh-CN"/>
          <w14:textFill>
            <w14:solidFill>
              <w14:schemeClr w14:val="tx1"/>
            </w14:solidFill>
          </w14:textFill>
        </w:rPr>
        <w:t>实行三级审核机制，</w:t>
      </w:r>
      <w:r>
        <w:rPr>
          <w:rFonts w:ascii="仿宋_GB2312" w:hAnsi="宋体" w:eastAsia="仿宋_GB2312" w:cs="仿宋_GB2312"/>
          <w:i w:val="0"/>
          <w:caps w:val="0"/>
          <w:color w:val="000000" w:themeColor="text1"/>
          <w:spacing w:val="0"/>
          <w:sz w:val="32"/>
          <w:szCs w:val="32"/>
          <w14:textFill>
            <w14:solidFill>
              <w14:schemeClr w14:val="tx1"/>
            </w14:solidFill>
          </w14:textFill>
        </w:rPr>
        <w:t>强化干部的责任意识。</w:t>
      </w:r>
    </w:p>
    <w:p>
      <w:pPr>
        <w:keepNext w:val="0"/>
        <w:keepLines w:val="0"/>
        <w:pageBreakBefore w:val="0"/>
        <w:widowControl/>
        <w:kinsoku/>
        <w:wordWrap/>
        <w:overflowPunct/>
        <w:topLinePunct w:val="0"/>
        <w:autoSpaceDE/>
        <w:autoSpaceDN/>
        <w:bidi w:val="0"/>
        <w:adjustRightInd/>
        <w:snapToGrid/>
        <w:spacing w:line="500" w:lineRule="exact"/>
        <w:ind w:firstLine="643" w:firstLineChars="200"/>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（四）政府信息公开平台建设情况</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24" w:firstLineChars="200"/>
        <w:jc w:val="both"/>
        <w:textAlignment w:val="auto"/>
        <w:rPr>
          <w:rFonts w:hint="eastAsia" w:ascii="仿宋_GB2312" w:hAnsi="仿宋_GB2312" w:cs="仿宋_GB2312"/>
          <w:snapToGrid w:val="0"/>
          <w:color w:val="000000" w:themeColor="text1"/>
          <w:spacing w:val="-4"/>
          <w:sz w:val="32"/>
          <w:szCs w:val="32"/>
          <w:shd w:val="clear" w:color="auto" w:fill="FFFFFF"/>
          <w:lang w:val="en-US" w:eastAsia="zh-CN"/>
          <w14:textFill>
            <w14:solidFill>
              <w14:schemeClr w14:val="tx1"/>
            </w14:solidFill>
          </w14:textFill>
        </w:rPr>
      </w:pPr>
      <w:r>
        <w:rPr>
          <w:rFonts w:hint="eastAsia" w:ascii="仿宋_GB2312" w:hAnsi="仿宋_GB2312" w:cs="仿宋_GB2312"/>
          <w:snapToGrid w:val="0"/>
          <w:color w:val="000000" w:themeColor="text1"/>
          <w:spacing w:val="-4"/>
          <w:sz w:val="32"/>
          <w:szCs w:val="32"/>
          <w:shd w:val="clear" w:color="auto" w:fill="FFFFFF"/>
          <w:lang w:val="en-US" w:eastAsia="zh-CN"/>
          <w14:textFill>
            <w14:solidFill>
              <w14:schemeClr w14:val="tx1"/>
            </w14:solidFill>
          </w14:textFill>
        </w:rPr>
        <w:t>依托区政府信息公开平台参与内容更新管理和板块维护。</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3" w:firstLineChars="200"/>
        <w:jc w:val="both"/>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（五）监督保障方面</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_GB2312" w:hAnsi="宋体" w:cs="仿宋_GB2312"/>
          <w:i w:val="0"/>
          <w:caps w:val="0"/>
          <w:color w:val="000000" w:themeColor="text1"/>
          <w:spacing w:val="0"/>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强化责任分工，</w:t>
      </w:r>
      <w:r>
        <w:rPr>
          <w:rFonts w:hint="eastAsia"/>
        </w:rPr>
        <w:t>规范工作体制机制，</w:t>
      </w:r>
      <w:r>
        <w:rPr>
          <w:rFonts w:hint="eastAsia"/>
          <w:lang w:eastAsia="zh-CN"/>
        </w:rPr>
        <w:t>明确责任领导、责任科室和责任人，构建起牵头科室和其他科室的协同推进体系；</w:t>
      </w:r>
      <w:r>
        <w:rPr>
          <w:rFonts w:hint="eastAsia" w:ascii="楷体_GB2312" w:hAnsi="楷体_GB2312" w:eastAsia="楷体_GB2312" w:cs="楷体_GB2312"/>
          <w:lang w:eastAsia="zh-CN"/>
        </w:rPr>
        <w:t>做好工作部署，</w:t>
      </w:r>
      <w:r>
        <w:rPr>
          <w:rFonts w:hint="eastAsia"/>
          <w:lang w:eastAsia="zh-CN"/>
        </w:rPr>
        <w:t>定期开展</w:t>
      </w:r>
      <w:r>
        <w:rPr>
          <w:rFonts w:hint="eastAsia"/>
          <w:lang w:val="en-US" w:eastAsia="zh-CN"/>
        </w:rPr>
        <w:t>政府信息公开专题研究，</w:t>
      </w:r>
      <w:r>
        <w:rPr>
          <w:rFonts w:hint="eastAsia"/>
        </w:rPr>
        <w:t>细化工作任务</w:t>
      </w:r>
      <w:r>
        <w:rPr>
          <w:rFonts w:hint="eastAsia"/>
          <w:lang w:eastAsia="zh-CN"/>
        </w:rPr>
        <w:t>，</w:t>
      </w:r>
      <w:r>
        <w:rPr>
          <w:rFonts w:hint="eastAsia"/>
          <w:lang w:val="en-US" w:eastAsia="zh-CN"/>
        </w:rPr>
        <w:t>推动相关工作落到实处；</w:t>
      </w:r>
      <w:r>
        <w:rPr>
          <w:rFonts w:hint="eastAsia" w:ascii="楷体_GB2312" w:hAnsi="楷体_GB2312" w:eastAsia="楷体_GB2312" w:cs="楷体_GB2312"/>
          <w:lang w:val="en-US" w:eastAsia="zh-CN"/>
        </w:rPr>
        <w:t>落实制度机制，</w:t>
      </w:r>
      <w:r>
        <w:rPr>
          <w:rFonts w:hint="eastAsia"/>
          <w:lang w:val="en-US" w:eastAsia="zh-CN"/>
        </w:rPr>
        <w:t>建立政务新媒体信息发布审核机制，做到“一事一审，先审后发”，切实把好政治关、政策关、内容关。</w:t>
      </w:r>
    </w:p>
    <w:p>
      <w:pPr>
        <w:pStyle w:val="7"/>
        <w:widowControl/>
        <w:spacing w:before="0" w:beforeAutospacing="0" w:after="0" w:afterAutospacing="0" w:line="560" w:lineRule="exact"/>
        <w:ind w:firstLine="640" w:firstLineChars="200"/>
        <w:jc w:val="both"/>
        <w:rPr>
          <w:rFonts w:hint="eastAsia" w:ascii="黑体" w:hAnsi="黑体" w:eastAsia="黑体" w:cs="Times New Roman"/>
          <w:szCs w:val="32"/>
        </w:rPr>
      </w:pPr>
      <w:r>
        <w:rPr>
          <w:rFonts w:hint="eastAsia" w:ascii="黑体" w:hAnsi="黑体" w:eastAsia="黑体" w:cs="Times New Roman"/>
          <w:szCs w:val="32"/>
        </w:rPr>
        <w:t>二、主动公开政府信息情况</w:t>
      </w:r>
    </w:p>
    <w:tbl>
      <w:tblPr>
        <w:tblStyle w:val="8"/>
        <w:tblpPr w:leftFromText="180" w:rightFromText="180" w:vertAnchor="text" w:horzAnchor="page" w:tblpXSpec="center" w:tblpY="85"/>
        <w:tblOverlap w:val="never"/>
        <w:tblW w:w="9221" w:type="dxa"/>
        <w:tblInd w:w="0" w:type="dxa"/>
        <w:tblLayout w:type="fixed"/>
        <w:tblCellMar>
          <w:top w:w="0" w:type="dxa"/>
          <w:left w:w="0" w:type="dxa"/>
          <w:bottom w:w="0" w:type="dxa"/>
          <w:right w:w="0" w:type="dxa"/>
        </w:tblCellMar>
      </w:tblPr>
      <w:tblGrid>
        <w:gridCol w:w="1953"/>
        <w:gridCol w:w="2435"/>
        <w:gridCol w:w="2435"/>
        <w:gridCol w:w="2398"/>
      </w:tblGrid>
      <w:tr>
        <w:tblPrEx>
          <w:tblLayout w:type="fixed"/>
          <w:tblCellMar>
            <w:top w:w="0" w:type="dxa"/>
            <w:left w:w="0" w:type="dxa"/>
            <w:bottom w:w="0" w:type="dxa"/>
            <w:right w:w="0" w:type="dxa"/>
          </w:tblCellMar>
        </w:tblPrEx>
        <w:trPr>
          <w:trHeight w:val="170" w:hRule="atLeast"/>
        </w:trPr>
        <w:tc>
          <w:tcPr>
            <w:tcW w:w="9221"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spacing w:line="300" w:lineRule="exact"/>
              <w:jc w:val="center"/>
              <w:rPr>
                <w:kern w:val="0"/>
                <w:sz w:val="21"/>
                <w:szCs w:val="21"/>
              </w:rPr>
            </w:pPr>
            <w:r>
              <w:rPr>
                <w:rFonts w:hint="eastAsia"/>
                <w:kern w:val="0"/>
                <w:sz w:val="21"/>
                <w:szCs w:val="21"/>
              </w:rPr>
              <w:t>第二十条第（一）项</w:t>
            </w:r>
          </w:p>
        </w:tc>
      </w:tr>
      <w:tr>
        <w:tblPrEx>
          <w:tblLayout w:type="fixed"/>
          <w:tblCellMar>
            <w:top w:w="0" w:type="dxa"/>
            <w:left w:w="0" w:type="dxa"/>
            <w:bottom w:w="0" w:type="dxa"/>
            <w:right w:w="0" w:type="dxa"/>
          </w:tblCellMar>
        </w:tblPrEx>
        <w:trPr>
          <w:trHeight w:val="115"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本年制发件数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本年废止件数</w:t>
            </w:r>
          </w:p>
        </w:tc>
        <w:tc>
          <w:tcPr>
            <w:tcW w:w="2398" w:type="dxa"/>
            <w:tcBorders>
              <w:top w:val="single" w:color="auto" w:sz="8" w:space="0"/>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现行有效件数</w:t>
            </w:r>
          </w:p>
        </w:tc>
      </w:tr>
      <w:tr>
        <w:tblPrEx>
          <w:tblLayout w:type="fixed"/>
          <w:tblCellMar>
            <w:top w:w="0" w:type="dxa"/>
            <w:left w:w="0" w:type="dxa"/>
            <w:bottom w:w="0" w:type="dxa"/>
            <w:right w:w="0" w:type="dxa"/>
          </w:tblCellMar>
        </w:tblPrEx>
        <w:trPr>
          <w:trHeight w:val="9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lang w:val="en-US" w:eastAsia="zh-CN"/>
              </w:rPr>
              <w:t>0</w:t>
            </w:r>
            <w:r>
              <w:rPr>
                <w:rFonts w:hint="eastAsia"/>
                <w:kern w:val="0"/>
                <w:sz w:val="21"/>
                <w:szCs w:val="21"/>
              </w:rPr>
              <w:t>　</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 </w:t>
            </w:r>
            <w:r>
              <w:rPr>
                <w:rFonts w:hint="eastAsia"/>
                <w:kern w:val="0"/>
                <w:sz w:val="21"/>
                <w:szCs w:val="21"/>
                <w:lang w:val="en-US" w:eastAsia="zh-CN"/>
              </w:rPr>
              <w:t>0</w:t>
            </w:r>
            <w:r>
              <w:rPr>
                <w:rFonts w:hint="eastAsia"/>
                <w:kern w:val="0"/>
                <w:sz w:val="21"/>
                <w:szCs w:val="21"/>
              </w:rPr>
              <w:t>　</w:t>
            </w:r>
          </w:p>
        </w:tc>
        <w:tc>
          <w:tcPr>
            <w:tcW w:w="2398" w:type="dxa"/>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lang w:val="en-US" w:eastAsia="zh-CN"/>
              </w:rPr>
              <w:t>0</w:t>
            </w:r>
            <w:r>
              <w:rPr>
                <w:kern w:val="0"/>
                <w:sz w:val="21"/>
                <w:szCs w:val="21"/>
              </w:rPr>
              <w:t> </w:t>
            </w:r>
          </w:p>
        </w:tc>
      </w:tr>
      <w:tr>
        <w:tblPrEx>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lang w:val="en-US" w:eastAsia="zh-CN"/>
              </w:rPr>
              <w:t>0</w:t>
            </w:r>
            <w:r>
              <w:rPr>
                <w:rFonts w:hint="eastAsia"/>
                <w:kern w:val="0"/>
                <w:sz w:val="21"/>
                <w:szCs w:val="21"/>
              </w:rPr>
              <w:t>　　</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2398" w:type="dxa"/>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rFonts w:hint="default" w:eastAsia="仿宋_GB2312"/>
                <w:kern w:val="0"/>
                <w:sz w:val="21"/>
                <w:szCs w:val="21"/>
                <w:lang w:val="en-US" w:eastAsia="zh-CN"/>
              </w:rPr>
            </w:pPr>
            <w:r>
              <w:rPr>
                <w:rFonts w:hint="eastAsia"/>
                <w:kern w:val="0"/>
                <w:sz w:val="21"/>
                <w:szCs w:val="21"/>
                <w:lang w:val="en-US" w:eastAsia="zh-CN"/>
              </w:rPr>
              <w:t>0</w:t>
            </w:r>
          </w:p>
        </w:tc>
      </w:tr>
      <w:tr>
        <w:tblPrEx>
          <w:tblLayout w:type="fixed"/>
          <w:tblCellMar>
            <w:top w:w="0" w:type="dxa"/>
            <w:left w:w="0" w:type="dxa"/>
            <w:bottom w:w="0" w:type="dxa"/>
            <w:right w:w="0" w:type="dxa"/>
          </w:tblCellMar>
        </w:tblPrEx>
        <w:trPr>
          <w:trHeight w:val="220" w:hRule="atLeast"/>
        </w:trPr>
        <w:tc>
          <w:tcPr>
            <w:tcW w:w="9221"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spacing w:line="300" w:lineRule="exact"/>
              <w:jc w:val="center"/>
              <w:rPr>
                <w:kern w:val="0"/>
                <w:sz w:val="21"/>
                <w:szCs w:val="21"/>
              </w:rPr>
            </w:pPr>
            <w:r>
              <w:rPr>
                <w:rFonts w:hint="eastAsia"/>
                <w:kern w:val="0"/>
                <w:sz w:val="21"/>
                <w:szCs w:val="21"/>
              </w:rPr>
              <w:t>第二十条第（五）项</w:t>
            </w:r>
          </w:p>
        </w:tc>
      </w:tr>
      <w:tr>
        <w:tblPrEx>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信息内容</w:t>
            </w:r>
          </w:p>
        </w:tc>
        <w:tc>
          <w:tcPr>
            <w:tcW w:w="7268" w:type="dxa"/>
            <w:gridSpan w:val="3"/>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本年处理决定数量</w:t>
            </w:r>
          </w:p>
        </w:tc>
      </w:tr>
      <w:tr>
        <w:tblPrEx>
          <w:tblLayout w:type="fixed"/>
          <w:tblCellMar>
            <w:top w:w="0" w:type="dxa"/>
            <w:left w:w="0" w:type="dxa"/>
            <w:bottom w:w="0" w:type="dxa"/>
            <w:right w:w="0" w:type="dxa"/>
          </w:tblCellMar>
        </w:tblPrEx>
        <w:trPr>
          <w:trHeight w:val="9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行政许可</w:t>
            </w:r>
          </w:p>
        </w:tc>
        <w:tc>
          <w:tcPr>
            <w:tcW w:w="7268" w:type="dxa"/>
            <w:gridSpan w:val="3"/>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lang w:val="en-US" w:eastAsia="zh-CN"/>
              </w:rPr>
              <w:t>0</w:t>
            </w:r>
            <w:r>
              <w:rPr>
                <w:kern w:val="0"/>
                <w:sz w:val="21"/>
                <w:szCs w:val="21"/>
              </w:rPr>
              <w:t> </w:t>
            </w:r>
          </w:p>
        </w:tc>
      </w:tr>
      <w:tr>
        <w:tblPrEx>
          <w:tblLayout w:type="fixed"/>
          <w:tblCellMar>
            <w:top w:w="0" w:type="dxa"/>
            <w:left w:w="0" w:type="dxa"/>
            <w:bottom w:w="0" w:type="dxa"/>
            <w:right w:w="0" w:type="dxa"/>
          </w:tblCellMar>
        </w:tblPrEx>
        <w:trPr>
          <w:trHeight w:val="340" w:hRule="atLeast"/>
        </w:trPr>
        <w:tc>
          <w:tcPr>
            <w:tcW w:w="9221"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spacing w:line="300" w:lineRule="exact"/>
              <w:jc w:val="center"/>
              <w:rPr>
                <w:kern w:val="0"/>
                <w:sz w:val="21"/>
                <w:szCs w:val="21"/>
              </w:rPr>
            </w:pPr>
            <w:r>
              <w:rPr>
                <w:rFonts w:hint="eastAsia"/>
                <w:kern w:val="0"/>
                <w:sz w:val="21"/>
                <w:szCs w:val="21"/>
              </w:rPr>
              <w:t>第二十条第（六）项</w:t>
            </w:r>
          </w:p>
        </w:tc>
      </w:tr>
      <w:tr>
        <w:tblPrEx>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信息内容</w:t>
            </w:r>
          </w:p>
        </w:tc>
        <w:tc>
          <w:tcPr>
            <w:tcW w:w="7268"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本年处理决定数量</w:t>
            </w:r>
          </w:p>
        </w:tc>
      </w:tr>
      <w:tr>
        <w:tblPrEx>
          <w:tblLayout w:type="fixed"/>
          <w:tblCellMar>
            <w:top w:w="0" w:type="dxa"/>
            <w:left w:w="0" w:type="dxa"/>
            <w:bottom w:w="0" w:type="dxa"/>
            <w:right w:w="0" w:type="dxa"/>
          </w:tblCellMar>
        </w:tblPrEx>
        <w:trPr>
          <w:trHeight w:val="115"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行政处罚</w:t>
            </w:r>
          </w:p>
        </w:tc>
        <w:tc>
          <w:tcPr>
            <w:tcW w:w="7268" w:type="dxa"/>
            <w:gridSpan w:val="3"/>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lang w:val="en-US" w:eastAsia="zh-CN"/>
              </w:rPr>
              <w:t>0</w:t>
            </w:r>
            <w:r>
              <w:rPr>
                <w:rFonts w:hint="eastAsia"/>
                <w:kern w:val="0"/>
                <w:sz w:val="21"/>
                <w:szCs w:val="21"/>
              </w:rPr>
              <w:t>　</w:t>
            </w:r>
          </w:p>
        </w:tc>
      </w:tr>
      <w:tr>
        <w:tblPrEx>
          <w:tblLayout w:type="fixed"/>
          <w:tblCellMar>
            <w:top w:w="0" w:type="dxa"/>
            <w:left w:w="0" w:type="dxa"/>
            <w:bottom w:w="0" w:type="dxa"/>
            <w:right w:w="0" w:type="dxa"/>
          </w:tblCellMar>
        </w:tblPrEx>
        <w:trPr>
          <w:trHeight w:val="9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行政强制</w:t>
            </w:r>
          </w:p>
        </w:tc>
        <w:tc>
          <w:tcPr>
            <w:tcW w:w="7268" w:type="dxa"/>
            <w:gridSpan w:val="3"/>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lang w:val="en-US" w:eastAsia="zh-CN"/>
              </w:rPr>
              <w:t>0</w:t>
            </w:r>
            <w:r>
              <w:rPr>
                <w:rFonts w:hint="eastAsia"/>
                <w:kern w:val="0"/>
                <w:sz w:val="21"/>
                <w:szCs w:val="21"/>
              </w:rPr>
              <w:t>　</w:t>
            </w:r>
          </w:p>
        </w:tc>
      </w:tr>
      <w:tr>
        <w:tblPrEx>
          <w:tblLayout w:type="fixed"/>
          <w:tblCellMar>
            <w:top w:w="0" w:type="dxa"/>
            <w:left w:w="0" w:type="dxa"/>
            <w:bottom w:w="0" w:type="dxa"/>
            <w:right w:w="0" w:type="dxa"/>
          </w:tblCellMar>
        </w:tblPrEx>
        <w:trPr>
          <w:trHeight w:val="340" w:hRule="atLeast"/>
        </w:trPr>
        <w:tc>
          <w:tcPr>
            <w:tcW w:w="9221"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spacing w:line="300" w:lineRule="exact"/>
              <w:jc w:val="center"/>
              <w:rPr>
                <w:kern w:val="0"/>
                <w:sz w:val="21"/>
                <w:szCs w:val="21"/>
              </w:rPr>
            </w:pPr>
            <w:r>
              <w:rPr>
                <w:rFonts w:hint="eastAsia"/>
                <w:kern w:val="0"/>
                <w:sz w:val="21"/>
                <w:szCs w:val="21"/>
              </w:rPr>
              <w:t>第二十条第（八）项</w:t>
            </w:r>
          </w:p>
        </w:tc>
      </w:tr>
      <w:tr>
        <w:tblPrEx>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信息内容</w:t>
            </w:r>
          </w:p>
        </w:tc>
        <w:tc>
          <w:tcPr>
            <w:tcW w:w="7268" w:type="dxa"/>
            <w:gridSpan w:val="3"/>
            <w:tcBorders>
              <w:top w:val="nil"/>
              <w:left w:val="nil"/>
              <w:bottom w:val="single" w:color="auto" w:sz="8" w:space="0"/>
              <w:right w:val="single" w:color="000000"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本年收费金额（单位：万元）</w:t>
            </w:r>
          </w:p>
        </w:tc>
      </w:tr>
      <w:tr>
        <w:tblPrEx>
          <w:tblLayout w:type="fixed"/>
          <w:tblCellMar>
            <w:top w:w="0" w:type="dxa"/>
            <w:left w:w="0" w:type="dxa"/>
            <w:bottom w:w="0" w:type="dxa"/>
            <w:right w:w="0" w:type="dxa"/>
          </w:tblCellMar>
        </w:tblPrEx>
        <w:trPr>
          <w:trHeight w:val="92"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行政事业性收费</w:t>
            </w:r>
          </w:p>
        </w:tc>
        <w:tc>
          <w:tcPr>
            <w:tcW w:w="7268" w:type="dxa"/>
            <w:gridSpan w:val="3"/>
            <w:tcBorders>
              <w:top w:val="nil"/>
              <w:left w:val="nil"/>
              <w:bottom w:val="single" w:color="auto" w:sz="8" w:space="0"/>
              <w:right w:val="single" w:color="000000" w:sz="8" w:space="0"/>
            </w:tcBorders>
            <w:noWrap w:val="0"/>
            <w:tcMar>
              <w:left w:w="57" w:type="dxa"/>
              <w:right w:w="57" w:type="dxa"/>
            </w:tcMar>
            <w:vAlign w:val="center"/>
          </w:tcPr>
          <w:p>
            <w:pPr>
              <w:spacing w:line="300" w:lineRule="exact"/>
              <w:jc w:val="center"/>
              <w:rPr>
                <w:rFonts w:hint="eastAsia" w:eastAsia="仿宋_GB2312"/>
                <w:kern w:val="0"/>
                <w:sz w:val="21"/>
                <w:szCs w:val="21"/>
                <w:lang w:val="en-US" w:eastAsia="zh-CN"/>
              </w:rPr>
            </w:pPr>
            <w:r>
              <w:rPr>
                <w:rFonts w:hint="eastAsia"/>
                <w:kern w:val="0"/>
                <w:sz w:val="21"/>
                <w:szCs w:val="21"/>
                <w:lang w:val="en-US" w:eastAsia="zh-CN"/>
              </w:rPr>
              <w:t>0</w:t>
            </w:r>
          </w:p>
        </w:tc>
      </w:tr>
    </w:tbl>
    <w:tbl>
      <w:tblPr>
        <w:tblStyle w:val="8"/>
        <w:tblpPr w:leftFromText="180" w:rightFromText="180" w:vertAnchor="text" w:horzAnchor="page" w:tblpX="1865" w:tblpY="726"/>
        <w:tblOverlap w:val="never"/>
        <w:tblW w:w="930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86"/>
        <w:gridCol w:w="960"/>
        <w:gridCol w:w="2634"/>
        <w:gridCol w:w="643"/>
        <w:gridCol w:w="715"/>
        <w:gridCol w:w="715"/>
        <w:gridCol w:w="715"/>
        <w:gridCol w:w="715"/>
        <w:gridCol w:w="715"/>
        <w:gridCol w:w="70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7" w:hRule="atLeast"/>
        </w:trPr>
        <w:tc>
          <w:tcPr>
            <w:tcW w:w="4380" w:type="dxa"/>
            <w:gridSpan w:val="3"/>
            <w:vMerge w:val="restart"/>
            <w:noWrap w:val="0"/>
            <w:tcMar>
              <w:left w:w="108" w:type="dxa"/>
              <w:right w:w="108" w:type="dxa"/>
            </w:tcMar>
            <w:vAlign w:val="center"/>
          </w:tcPr>
          <w:p>
            <w:pPr>
              <w:spacing w:line="240" w:lineRule="exact"/>
              <w:jc w:val="center"/>
              <w:rPr>
                <w:kern w:val="0"/>
                <w:sz w:val="21"/>
                <w:szCs w:val="21"/>
              </w:rPr>
            </w:pPr>
            <w:r>
              <w:rPr>
                <w:kern w:val="0"/>
                <w:sz w:val="21"/>
                <w:szCs w:val="21"/>
              </w:rPr>
              <w:t>（本列数据的勾稽关系为：第一项加第二项之和，等于第三项加第四项之和）</w:t>
            </w:r>
          </w:p>
        </w:tc>
        <w:tc>
          <w:tcPr>
            <w:tcW w:w="4920" w:type="dxa"/>
            <w:gridSpan w:val="7"/>
            <w:noWrap w:val="0"/>
            <w:tcMar>
              <w:left w:w="57" w:type="dxa"/>
              <w:right w:w="57" w:type="dxa"/>
            </w:tcMar>
            <w:vAlign w:val="center"/>
          </w:tcPr>
          <w:p>
            <w:pPr>
              <w:spacing w:line="240" w:lineRule="exact"/>
              <w:jc w:val="center"/>
              <w:rPr>
                <w:kern w:val="0"/>
                <w:sz w:val="21"/>
                <w:szCs w:val="21"/>
              </w:rPr>
            </w:pPr>
            <w:r>
              <w:rPr>
                <w:rFonts w:hint="eastAsia"/>
                <w:kern w:val="0"/>
                <w:sz w:val="21"/>
                <w:szCs w:val="21"/>
              </w:rPr>
              <w:t>申请人情况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7" w:hRule="atLeast"/>
        </w:trPr>
        <w:tc>
          <w:tcPr>
            <w:tcW w:w="4380" w:type="dxa"/>
            <w:gridSpan w:val="3"/>
            <w:vMerge w:val="continue"/>
            <w:noWrap w:val="0"/>
            <w:tcMar>
              <w:left w:w="108" w:type="dxa"/>
              <w:right w:w="108" w:type="dxa"/>
            </w:tcMar>
            <w:vAlign w:val="center"/>
          </w:tcPr>
          <w:p>
            <w:pPr>
              <w:spacing w:line="240" w:lineRule="exact"/>
              <w:jc w:val="center"/>
              <w:rPr>
                <w:rFonts w:hint="eastAsia"/>
                <w:kern w:val="0"/>
                <w:sz w:val="21"/>
                <w:szCs w:val="21"/>
              </w:rPr>
            </w:pPr>
          </w:p>
        </w:tc>
        <w:tc>
          <w:tcPr>
            <w:tcW w:w="643"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自然人</w:t>
            </w:r>
          </w:p>
        </w:tc>
        <w:tc>
          <w:tcPr>
            <w:tcW w:w="3575" w:type="dxa"/>
            <w:gridSpan w:val="5"/>
            <w:noWrap w:val="0"/>
            <w:tcMar>
              <w:left w:w="57" w:type="dxa"/>
              <w:right w:w="57" w:type="dxa"/>
            </w:tcMar>
            <w:vAlign w:val="center"/>
          </w:tcPr>
          <w:p>
            <w:pPr>
              <w:spacing w:line="240" w:lineRule="exact"/>
              <w:jc w:val="center"/>
              <w:rPr>
                <w:kern w:val="0"/>
                <w:sz w:val="21"/>
                <w:szCs w:val="21"/>
              </w:rPr>
            </w:pPr>
            <w:r>
              <w:rPr>
                <w:rFonts w:hint="eastAsia"/>
                <w:kern w:val="0"/>
                <w:sz w:val="21"/>
                <w:szCs w:val="21"/>
              </w:rPr>
              <w:t>法人或其他组织</w:t>
            </w:r>
          </w:p>
        </w:tc>
        <w:tc>
          <w:tcPr>
            <w:tcW w:w="702"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总计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19" w:hRule="atLeast"/>
        </w:trPr>
        <w:tc>
          <w:tcPr>
            <w:tcW w:w="4380" w:type="dxa"/>
            <w:gridSpan w:val="3"/>
            <w:vMerge w:val="continue"/>
            <w:noWrap w:val="0"/>
            <w:tcMar>
              <w:left w:w="108" w:type="dxa"/>
              <w:right w:w="108" w:type="dxa"/>
            </w:tcMar>
            <w:vAlign w:val="center"/>
          </w:tcPr>
          <w:p>
            <w:pPr>
              <w:spacing w:line="240" w:lineRule="exact"/>
              <w:jc w:val="center"/>
              <w:rPr>
                <w:rFonts w:hint="eastAsia"/>
                <w:kern w:val="0"/>
                <w:sz w:val="21"/>
                <w:szCs w:val="21"/>
              </w:rPr>
            </w:pPr>
          </w:p>
        </w:tc>
        <w:tc>
          <w:tcPr>
            <w:tcW w:w="643" w:type="dxa"/>
            <w:vMerge w:val="continue"/>
            <w:noWrap w:val="0"/>
            <w:tcMar>
              <w:left w:w="57" w:type="dxa"/>
              <w:right w:w="57" w:type="dxa"/>
            </w:tcMar>
            <w:vAlign w:val="center"/>
          </w:tcPr>
          <w:p>
            <w:pPr>
              <w:spacing w:line="240" w:lineRule="exact"/>
              <w:jc w:val="center"/>
              <w:rPr>
                <w:rFonts w:hint="eastAsia"/>
                <w:kern w:val="0"/>
                <w:sz w:val="21"/>
                <w:szCs w:val="21"/>
              </w:rPr>
            </w:pP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rPr>
              <w:t>商业</w:t>
            </w:r>
          </w:p>
          <w:p>
            <w:pPr>
              <w:spacing w:line="240" w:lineRule="exact"/>
              <w:jc w:val="center"/>
              <w:rPr>
                <w:kern w:val="0"/>
                <w:sz w:val="21"/>
                <w:szCs w:val="21"/>
              </w:rPr>
            </w:pPr>
            <w:r>
              <w:rPr>
                <w:rFonts w:hint="eastAsia"/>
                <w:kern w:val="0"/>
                <w:sz w:val="21"/>
                <w:szCs w:val="21"/>
              </w:rPr>
              <w:t>企业</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rPr>
              <w:t>科研</w:t>
            </w:r>
          </w:p>
          <w:p>
            <w:pPr>
              <w:spacing w:line="240" w:lineRule="exact"/>
              <w:jc w:val="center"/>
              <w:rPr>
                <w:kern w:val="0"/>
                <w:sz w:val="21"/>
                <w:szCs w:val="21"/>
              </w:rPr>
            </w:pPr>
            <w:r>
              <w:rPr>
                <w:rFonts w:hint="eastAsia"/>
                <w:kern w:val="0"/>
                <w:sz w:val="21"/>
                <w:szCs w:val="21"/>
              </w:rPr>
              <w:t>机构</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rPr>
              <w:t>社会公益组织</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rPr>
              <w:t>法律服务机构</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rPr>
              <w:t>其他</w:t>
            </w:r>
          </w:p>
        </w:tc>
        <w:tc>
          <w:tcPr>
            <w:tcW w:w="702" w:type="dxa"/>
            <w:vMerge w:val="continue"/>
            <w:noWrap w:val="0"/>
            <w:tcMar>
              <w:left w:w="57" w:type="dxa"/>
              <w:right w:w="57" w:type="dxa"/>
            </w:tcMar>
            <w:vAlign w:val="center"/>
          </w:tcPr>
          <w:p>
            <w:pPr>
              <w:spacing w:line="240" w:lineRule="exact"/>
              <w:jc w:val="center"/>
              <w:rPr>
                <w:rFonts w:hint="eastAsia"/>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27" w:hRule="exact"/>
        </w:trPr>
        <w:tc>
          <w:tcPr>
            <w:tcW w:w="4380" w:type="dxa"/>
            <w:gridSpan w:val="3"/>
            <w:noWrap w:val="0"/>
            <w:tcMar>
              <w:left w:w="57" w:type="dxa"/>
              <w:right w:w="57" w:type="dxa"/>
            </w:tcMar>
            <w:vAlign w:val="center"/>
          </w:tcPr>
          <w:p>
            <w:pPr>
              <w:spacing w:line="240" w:lineRule="exact"/>
              <w:jc w:val="center"/>
              <w:rPr>
                <w:kern w:val="0"/>
                <w:sz w:val="21"/>
                <w:szCs w:val="21"/>
              </w:rPr>
            </w:pPr>
            <w:r>
              <w:rPr>
                <w:rFonts w:hint="eastAsia"/>
                <w:kern w:val="0"/>
                <w:sz w:val="21"/>
                <w:szCs w:val="21"/>
              </w:rPr>
              <w:t>一、本年新收政府信息公开申请数量</w:t>
            </w:r>
          </w:p>
        </w:tc>
        <w:tc>
          <w:tcPr>
            <w:tcW w:w="643" w:type="dxa"/>
            <w:noWrap w:val="0"/>
            <w:tcMar>
              <w:left w:w="57" w:type="dxa"/>
              <w:right w:w="57" w:type="dxa"/>
            </w:tcMar>
            <w:vAlign w:val="center"/>
          </w:tcPr>
          <w:p>
            <w:pPr>
              <w:spacing w:line="240" w:lineRule="exact"/>
              <w:jc w:val="center"/>
              <w:rPr>
                <w:rFonts w:hint="default"/>
                <w:kern w:val="0"/>
                <w:sz w:val="21"/>
                <w:szCs w:val="21"/>
                <w:lang w:val="en-US"/>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rFonts w:hint="eastAsia" w:eastAsia="仿宋_GB2312"/>
                <w:kern w:val="0"/>
                <w:sz w:val="21"/>
                <w:szCs w:val="21"/>
                <w:lang w:val="en-US" w:eastAsia="zh-CN"/>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702" w:type="dxa"/>
            <w:noWrap w:val="0"/>
            <w:tcMar>
              <w:left w:w="57" w:type="dxa"/>
              <w:right w:w="57" w:type="dxa"/>
            </w:tcMar>
            <w:vAlign w:val="center"/>
          </w:tcPr>
          <w:p>
            <w:pPr>
              <w:spacing w:line="240" w:lineRule="exact"/>
              <w:jc w:val="center"/>
              <w:rPr>
                <w:rFonts w:hint="default" w:eastAsia="仿宋_GB2312"/>
                <w:kern w:val="0"/>
                <w:sz w:val="21"/>
                <w:szCs w:val="21"/>
                <w:lang w:val="en-US" w:eastAsia="zh-CN"/>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27" w:hRule="exact"/>
        </w:trPr>
        <w:tc>
          <w:tcPr>
            <w:tcW w:w="4380" w:type="dxa"/>
            <w:gridSpan w:val="3"/>
            <w:noWrap w:val="0"/>
            <w:tcMar>
              <w:left w:w="57" w:type="dxa"/>
              <w:right w:w="57" w:type="dxa"/>
            </w:tcMar>
            <w:vAlign w:val="center"/>
          </w:tcPr>
          <w:p>
            <w:pPr>
              <w:spacing w:line="240" w:lineRule="exact"/>
              <w:jc w:val="center"/>
              <w:rPr>
                <w:kern w:val="0"/>
                <w:sz w:val="21"/>
                <w:szCs w:val="21"/>
              </w:rPr>
            </w:pPr>
            <w:r>
              <w:rPr>
                <w:rFonts w:hint="eastAsia"/>
                <w:kern w:val="0"/>
                <w:sz w:val="21"/>
                <w:szCs w:val="21"/>
              </w:rPr>
              <w:t>二、上年结转政府信息公开申请数量</w:t>
            </w:r>
          </w:p>
        </w:tc>
        <w:tc>
          <w:tcPr>
            <w:tcW w:w="643"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7" w:hRule="atLeast"/>
        </w:trPr>
        <w:tc>
          <w:tcPr>
            <w:tcW w:w="786"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三、本年度办理结果</w:t>
            </w:r>
          </w:p>
        </w:tc>
        <w:tc>
          <w:tcPr>
            <w:tcW w:w="3594" w:type="dxa"/>
            <w:gridSpan w:val="2"/>
            <w:noWrap w:val="0"/>
            <w:tcMar>
              <w:left w:w="57" w:type="dxa"/>
              <w:right w:w="57" w:type="dxa"/>
            </w:tcMar>
            <w:vAlign w:val="center"/>
          </w:tcPr>
          <w:p>
            <w:pPr>
              <w:spacing w:line="240" w:lineRule="exact"/>
              <w:jc w:val="center"/>
              <w:rPr>
                <w:kern w:val="0"/>
                <w:sz w:val="21"/>
                <w:szCs w:val="21"/>
              </w:rPr>
            </w:pPr>
            <w:r>
              <w:rPr>
                <w:rFonts w:hint="eastAsia"/>
                <w:kern w:val="0"/>
                <w:sz w:val="21"/>
                <w:szCs w:val="21"/>
              </w:rPr>
              <w:t>（一）予以公开</w:t>
            </w:r>
          </w:p>
        </w:tc>
        <w:tc>
          <w:tcPr>
            <w:tcW w:w="643"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53" w:hRule="atLeast"/>
        </w:trPr>
        <w:tc>
          <w:tcPr>
            <w:tcW w:w="786" w:type="dxa"/>
            <w:vMerge w:val="continue"/>
            <w:noWrap w:val="0"/>
            <w:tcMar>
              <w:left w:w="57" w:type="dxa"/>
              <w:right w:w="57" w:type="dxa"/>
            </w:tcMar>
            <w:vAlign w:val="center"/>
          </w:tcPr>
          <w:p>
            <w:pPr>
              <w:spacing w:line="240" w:lineRule="exact"/>
              <w:jc w:val="center"/>
              <w:rPr>
                <w:rFonts w:hint="eastAsia"/>
                <w:kern w:val="0"/>
                <w:sz w:val="21"/>
                <w:szCs w:val="21"/>
              </w:rPr>
            </w:pPr>
          </w:p>
        </w:tc>
        <w:tc>
          <w:tcPr>
            <w:tcW w:w="3594" w:type="dxa"/>
            <w:gridSpan w:val="2"/>
            <w:noWrap w:val="0"/>
            <w:tcMar>
              <w:left w:w="57" w:type="dxa"/>
              <w:right w:w="57" w:type="dxa"/>
            </w:tcMar>
            <w:vAlign w:val="center"/>
          </w:tcPr>
          <w:p>
            <w:pPr>
              <w:spacing w:line="240" w:lineRule="exact"/>
              <w:jc w:val="center"/>
              <w:rPr>
                <w:kern w:val="0"/>
                <w:sz w:val="21"/>
                <w:szCs w:val="21"/>
              </w:rPr>
            </w:pPr>
            <w:r>
              <w:rPr>
                <w:rFonts w:hint="eastAsia"/>
                <w:kern w:val="0"/>
                <w:sz w:val="21"/>
                <w:szCs w:val="21"/>
              </w:rPr>
              <w:t>（二）部分公开（区分处理的，只计这一情形，不计其他情形）</w:t>
            </w:r>
          </w:p>
        </w:tc>
        <w:tc>
          <w:tcPr>
            <w:tcW w:w="643"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7" w:hRule="atLeast"/>
        </w:trPr>
        <w:tc>
          <w:tcPr>
            <w:tcW w:w="786" w:type="dxa"/>
            <w:vMerge w:val="continue"/>
            <w:noWrap w:val="0"/>
            <w:tcMar>
              <w:left w:w="57" w:type="dxa"/>
              <w:right w:w="57" w:type="dxa"/>
            </w:tcMar>
            <w:vAlign w:val="center"/>
          </w:tcPr>
          <w:p>
            <w:pPr>
              <w:spacing w:line="240" w:lineRule="exact"/>
              <w:jc w:val="center"/>
              <w:rPr>
                <w:rFonts w:hint="eastAsia"/>
                <w:kern w:val="0"/>
                <w:sz w:val="21"/>
                <w:szCs w:val="21"/>
              </w:rPr>
            </w:pPr>
          </w:p>
        </w:tc>
        <w:tc>
          <w:tcPr>
            <w:tcW w:w="960" w:type="dxa"/>
            <w:vMerge w:val="restart"/>
            <w:noWrap w:val="0"/>
            <w:tcMar>
              <w:left w:w="57" w:type="dxa"/>
              <w:right w:w="57" w:type="dxa"/>
            </w:tcMar>
            <w:vAlign w:val="center"/>
          </w:tcPr>
          <w:p>
            <w:pPr>
              <w:spacing w:line="240" w:lineRule="exact"/>
              <w:jc w:val="center"/>
              <w:rPr>
                <w:rFonts w:hint="eastAsia"/>
                <w:kern w:val="0"/>
                <w:sz w:val="21"/>
                <w:szCs w:val="21"/>
              </w:rPr>
            </w:pPr>
            <w:r>
              <w:rPr>
                <w:rFonts w:hint="eastAsia"/>
                <w:kern w:val="0"/>
                <w:sz w:val="21"/>
                <w:szCs w:val="21"/>
              </w:rPr>
              <w:t>（三）</w:t>
            </w:r>
          </w:p>
          <w:p>
            <w:pPr>
              <w:spacing w:line="240" w:lineRule="exact"/>
              <w:jc w:val="center"/>
              <w:rPr>
                <w:rFonts w:hint="eastAsia"/>
                <w:kern w:val="0"/>
                <w:sz w:val="21"/>
                <w:szCs w:val="21"/>
              </w:rPr>
            </w:pPr>
            <w:r>
              <w:rPr>
                <w:rFonts w:hint="eastAsia"/>
                <w:kern w:val="0"/>
                <w:sz w:val="21"/>
                <w:szCs w:val="21"/>
              </w:rPr>
              <w:t>不予</w:t>
            </w:r>
          </w:p>
          <w:p>
            <w:pPr>
              <w:spacing w:line="240" w:lineRule="exact"/>
              <w:jc w:val="center"/>
              <w:rPr>
                <w:kern w:val="0"/>
                <w:sz w:val="21"/>
                <w:szCs w:val="21"/>
              </w:rPr>
            </w:pPr>
            <w:r>
              <w:rPr>
                <w:rFonts w:hint="eastAsia"/>
                <w:kern w:val="0"/>
                <w:sz w:val="21"/>
                <w:szCs w:val="21"/>
              </w:rPr>
              <w:t>公开</w:t>
            </w:r>
          </w:p>
        </w:tc>
        <w:tc>
          <w:tcPr>
            <w:tcW w:w="2634" w:type="dxa"/>
            <w:noWrap w:val="0"/>
            <w:tcMar>
              <w:left w:w="57" w:type="dxa"/>
              <w:right w:w="57" w:type="dxa"/>
            </w:tcMar>
            <w:vAlign w:val="top"/>
          </w:tcPr>
          <w:p>
            <w:pPr>
              <w:spacing w:line="240" w:lineRule="exact"/>
              <w:rPr>
                <w:kern w:val="0"/>
                <w:sz w:val="21"/>
                <w:szCs w:val="21"/>
              </w:rPr>
            </w:pPr>
            <w:r>
              <w:rPr>
                <w:rFonts w:hint="eastAsia"/>
                <w:kern w:val="0"/>
                <w:sz w:val="21"/>
                <w:szCs w:val="21"/>
              </w:rPr>
              <w:t>1.属于国家秘密</w:t>
            </w:r>
          </w:p>
        </w:tc>
        <w:tc>
          <w:tcPr>
            <w:tcW w:w="643"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53" w:hRule="atLeast"/>
        </w:trPr>
        <w:tc>
          <w:tcPr>
            <w:tcW w:w="786" w:type="dxa"/>
            <w:vMerge w:val="continue"/>
            <w:noWrap w:val="0"/>
            <w:tcMar>
              <w:left w:w="57" w:type="dxa"/>
              <w:right w:w="57" w:type="dxa"/>
            </w:tcMar>
            <w:vAlign w:val="center"/>
          </w:tcPr>
          <w:p>
            <w:pPr>
              <w:spacing w:line="240" w:lineRule="exact"/>
              <w:jc w:val="center"/>
              <w:rPr>
                <w:rFonts w:hint="eastAsia"/>
                <w:kern w:val="0"/>
                <w:sz w:val="21"/>
                <w:szCs w:val="21"/>
              </w:rPr>
            </w:pPr>
          </w:p>
        </w:tc>
        <w:tc>
          <w:tcPr>
            <w:tcW w:w="960"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4" w:type="dxa"/>
            <w:noWrap w:val="0"/>
            <w:tcMar>
              <w:left w:w="57" w:type="dxa"/>
              <w:right w:w="57" w:type="dxa"/>
            </w:tcMar>
            <w:vAlign w:val="top"/>
          </w:tcPr>
          <w:p>
            <w:pPr>
              <w:spacing w:line="240" w:lineRule="exact"/>
              <w:rPr>
                <w:kern w:val="0"/>
                <w:sz w:val="21"/>
                <w:szCs w:val="21"/>
              </w:rPr>
            </w:pPr>
            <w:r>
              <w:rPr>
                <w:rFonts w:hint="eastAsia"/>
                <w:kern w:val="0"/>
                <w:sz w:val="21"/>
                <w:szCs w:val="21"/>
              </w:rPr>
              <w:t>2.其他法律行政法规禁止公开</w:t>
            </w:r>
          </w:p>
        </w:tc>
        <w:tc>
          <w:tcPr>
            <w:tcW w:w="643"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7" w:hRule="atLeast"/>
        </w:trPr>
        <w:tc>
          <w:tcPr>
            <w:tcW w:w="786" w:type="dxa"/>
            <w:vMerge w:val="continue"/>
            <w:noWrap w:val="0"/>
            <w:tcMar>
              <w:left w:w="57" w:type="dxa"/>
              <w:right w:w="57" w:type="dxa"/>
            </w:tcMar>
            <w:vAlign w:val="center"/>
          </w:tcPr>
          <w:p>
            <w:pPr>
              <w:spacing w:line="240" w:lineRule="exact"/>
              <w:jc w:val="center"/>
              <w:rPr>
                <w:rFonts w:hint="eastAsia"/>
                <w:kern w:val="0"/>
                <w:sz w:val="21"/>
                <w:szCs w:val="21"/>
              </w:rPr>
            </w:pPr>
          </w:p>
        </w:tc>
        <w:tc>
          <w:tcPr>
            <w:tcW w:w="960"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4" w:type="dxa"/>
            <w:noWrap w:val="0"/>
            <w:tcMar>
              <w:left w:w="57" w:type="dxa"/>
              <w:right w:w="57" w:type="dxa"/>
            </w:tcMar>
            <w:vAlign w:val="top"/>
          </w:tcPr>
          <w:p>
            <w:pPr>
              <w:spacing w:line="240" w:lineRule="exact"/>
              <w:jc w:val="center"/>
              <w:rPr>
                <w:kern w:val="0"/>
                <w:sz w:val="21"/>
                <w:szCs w:val="21"/>
              </w:rPr>
            </w:pPr>
            <w:r>
              <w:rPr>
                <w:rFonts w:hint="eastAsia"/>
                <w:kern w:val="0"/>
                <w:sz w:val="21"/>
                <w:szCs w:val="21"/>
              </w:rPr>
              <w:t>3.危及“三安全一稳定”</w:t>
            </w:r>
          </w:p>
        </w:tc>
        <w:tc>
          <w:tcPr>
            <w:tcW w:w="643"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7" w:hRule="atLeast"/>
        </w:trPr>
        <w:tc>
          <w:tcPr>
            <w:tcW w:w="786" w:type="dxa"/>
            <w:vMerge w:val="continue"/>
            <w:noWrap w:val="0"/>
            <w:tcMar>
              <w:left w:w="57" w:type="dxa"/>
              <w:right w:w="57" w:type="dxa"/>
            </w:tcMar>
            <w:vAlign w:val="center"/>
          </w:tcPr>
          <w:p>
            <w:pPr>
              <w:spacing w:line="240" w:lineRule="exact"/>
              <w:jc w:val="center"/>
              <w:rPr>
                <w:rFonts w:hint="eastAsia"/>
                <w:kern w:val="0"/>
                <w:sz w:val="21"/>
                <w:szCs w:val="21"/>
              </w:rPr>
            </w:pPr>
          </w:p>
        </w:tc>
        <w:tc>
          <w:tcPr>
            <w:tcW w:w="960"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4" w:type="dxa"/>
            <w:noWrap w:val="0"/>
            <w:tcMar>
              <w:left w:w="57" w:type="dxa"/>
              <w:right w:w="57" w:type="dxa"/>
            </w:tcMar>
            <w:vAlign w:val="top"/>
          </w:tcPr>
          <w:p>
            <w:pPr>
              <w:spacing w:line="240" w:lineRule="exact"/>
              <w:rPr>
                <w:kern w:val="0"/>
                <w:sz w:val="21"/>
                <w:szCs w:val="21"/>
              </w:rPr>
            </w:pPr>
            <w:r>
              <w:rPr>
                <w:rFonts w:hint="eastAsia"/>
                <w:kern w:val="0"/>
                <w:sz w:val="21"/>
                <w:szCs w:val="21"/>
              </w:rPr>
              <w:t>4.保护第三方合法权益</w:t>
            </w:r>
          </w:p>
        </w:tc>
        <w:tc>
          <w:tcPr>
            <w:tcW w:w="643"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7" w:hRule="atLeast"/>
        </w:trPr>
        <w:tc>
          <w:tcPr>
            <w:tcW w:w="786" w:type="dxa"/>
            <w:vMerge w:val="continue"/>
            <w:noWrap w:val="0"/>
            <w:tcMar>
              <w:left w:w="57" w:type="dxa"/>
              <w:right w:w="57" w:type="dxa"/>
            </w:tcMar>
            <w:vAlign w:val="center"/>
          </w:tcPr>
          <w:p>
            <w:pPr>
              <w:spacing w:line="240" w:lineRule="exact"/>
              <w:jc w:val="center"/>
              <w:rPr>
                <w:rFonts w:hint="eastAsia"/>
                <w:kern w:val="0"/>
                <w:sz w:val="21"/>
                <w:szCs w:val="21"/>
              </w:rPr>
            </w:pPr>
          </w:p>
        </w:tc>
        <w:tc>
          <w:tcPr>
            <w:tcW w:w="960"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4" w:type="dxa"/>
            <w:noWrap w:val="0"/>
            <w:tcMar>
              <w:left w:w="57" w:type="dxa"/>
              <w:right w:w="57" w:type="dxa"/>
            </w:tcMar>
            <w:vAlign w:val="top"/>
          </w:tcPr>
          <w:p>
            <w:pPr>
              <w:spacing w:line="240" w:lineRule="exact"/>
              <w:rPr>
                <w:kern w:val="0"/>
                <w:sz w:val="21"/>
                <w:szCs w:val="21"/>
              </w:rPr>
            </w:pPr>
            <w:r>
              <w:rPr>
                <w:rFonts w:hint="eastAsia"/>
                <w:kern w:val="0"/>
                <w:sz w:val="21"/>
                <w:szCs w:val="21"/>
              </w:rPr>
              <w:t>5.属于三类内部事务信息</w:t>
            </w:r>
          </w:p>
        </w:tc>
        <w:tc>
          <w:tcPr>
            <w:tcW w:w="643"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7" w:hRule="atLeast"/>
        </w:trPr>
        <w:tc>
          <w:tcPr>
            <w:tcW w:w="786" w:type="dxa"/>
            <w:vMerge w:val="continue"/>
            <w:noWrap w:val="0"/>
            <w:tcMar>
              <w:left w:w="57" w:type="dxa"/>
              <w:right w:w="57" w:type="dxa"/>
            </w:tcMar>
            <w:vAlign w:val="center"/>
          </w:tcPr>
          <w:p>
            <w:pPr>
              <w:spacing w:line="240" w:lineRule="exact"/>
              <w:jc w:val="center"/>
              <w:rPr>
                <w:rFonts w:hint="eastAsia"/>
                <w:kern w:val="0"/>
                <w:sz w:val="21"/>
                <w:szCs w:val="21"/>
              </w:rPr>
            </w:pPr>
          </w:p>
        </w:tc>
        <w:tc>
          <w:tcPr>
            <w:tcW w:w="960"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4" w:type="dxa"/>
            <w:noWrap w:val="0"/>
            <w:tcMar>
              <w:left w:w="57" w:type="dxa"/>
              <w:right w:w="57" w:type="dxa"/>
            </w:tcMar>
            <w:vAlign w:val="top"/>
          </w:tcPr>
          <w:p>
            <w:pPr>
              <w:spacing w:line="240" w:lineRule="exact"/>
              <w:rPr>
                <w:kern w:val="0"/>
                <w:sz w:val="21"/>
                <w:szCs w:val="21"/>
              </w:rPr>
            </w:pPr>
            <w:r>
              <w:rPr>
                <w:rFonts w:hint="eastAsia"/>
                <w:kern w:val="0"/>
                <w:sz w:val="21"/>
                <w:szCs w:val="21"/>
              </w:rPr>
              <w:t>6.属于四类过程性信息</w:t>
            </w:r>
          </w:p>
        </w:tc>
        <w:tc>
          <w:tcPr>
            <w:tcW w:w="643"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7" w:hRule="atLeast"/>
        </w:trPr>
        <w:tc>
          <w:tcPr>
            <w:tcW w:w="786" w:type="dxa"/>
            <w:vMerge w:val="continue"/>
            <w:noWrap w:val="0"/>
            <w:tcMar>
              <w:left w:w="57" w:type="dxa"/>
              <w:right w:w="57" w:type="dxa"/>
            </w:tcMar>
            <w:vAlign w:val="center"/>
          </w:tcPr>
          <w:p>
            <w:pPr>
              <w:spacing w:line="240" w:lineRule="exact"/>
              <w:jc w:val="center"/>
              <w:rPr>
                <w:rFonts w:hint="eastAsia"/>
                <w:kern w:val="0"/>
                <w:sz w:val="21"/>
                <w:szCs w:val="21"/>
              </w:rPr>
            </w:pPr>
          </w:p>
        </w:tc>
        <w:tc>
          <w:tcPr>
            <w:tcW w:w="960"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4" w:type="dxa"/>
            <w:noWrap w:val="0"/>
            <w:tcMar>
              <w:left w:w="57" w:type="dxa"/>
              <w:right w:w="57" w:type="dxa"/>
            </w:tcMar>
            <w:vAlign w:val="top"/>
          </w:tcPr>
          <w:p>
            <w:pPr>
              <w:spacing w:line="240" w:lineRule="exact"/>
              <w:rPr>
                <w:kern w:val="0"/>
                <w:sz w:val="21"/>
                <w:szCs w:val="21"/>
              </w:rPr>
            </w:pPr>
            <w:r>
              <w:rPr>
                <w:rFonts w:hint="eastAsia"/>
                <w:kern w:val="0"/>
                <w:sz w:val="21"/>
                <w:szCs w:val="21"/>
              </w:rPr>
              <w:t>7.属于行政执法案卷</w:t>
            </w:r>
          </w:p>
        </w:tc>
        <w:tc>
          <w:tcPr>
            <w:tcW w:w="643"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7" w:hRule="atLeast"/>
        </w:trPr>
        <w:tc>
          <w:tcPr>
            <w:tcW w:w="786" w:type="dxa"/>
            <w:vMerge w:val="continue"/>
            <w:noWrap w:val="0"/>
            <w:tcMar>
              <w:left w:w="57" w:type="dxa"/>
              <w:right w:w="57" w:type="dxa"/>
            </w:tcMar>
            <w:vAlign w:val="center"/>
          </w:tcPr>
          <w:p>
            <w:pPr>
              <w:spacing w:line="240" w:lineRule="exact"/>
              <w:jc w:val="center"/>
              <w:rPr>
                <w:rFonts w:hint="eastAsia"/>
                <w:kern w:val="0"/>
                <w:sz w:val="21"/>
                <w:szCs w:val="21"/>
              </w:rPr>
            </w:pPr>
          </w:p>
        </w:tc>
        <w:tc>
          <w:tcPr>
            <w:tcW w:w="960"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4" w:type="dxa"/>
            <w:noWrap w:val="0"/>
            <w:tcMar>
              <w:left w:w="57" w:type="dxa"/>
              <w:right w:w="57" w:type="dxa"/>
            </w:tcMar>
            <w:vAlign w:val="top"/>
          </w:tcPr>
          <w:p>
            <w:pPr>
              <w:spacing w:line="240" w:lineRule="exact"/>
              <w:rPr>
                <w:kern w:val="0"/>
                <w:sz w:val="21"/>
                <w:szCs w:val="21"/>
              </w:rPr>
            </w:pPr>
            <w:r>
              <w:rPr>
                <w:rFonts w:hint="eastAsia"/>
                <w:kern w:val="0"/>
                <w:sz w:val="21"/>
                <w:szCs w:val="21"/>
              </w:rPr>
              <w:t>8.属于行政查询事项</w:t>
            </w:r>
          </w:p>
        </w:tc>
        <w:tc>
          <w:tcPr>
            <w:tcW w:w="643"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53" w:hRule="atLeast"/>
        </w:trPr>
        <w:tc>
          <w:tcPr>
            <w:tcW w:w="786" w:type="dxa"/>
            <w:vMerge w:val="continue"/>
            <w:noWrap w:val="0"/>
            <w:tcMar>
              <w:left w:w="57" w:type="dxa"/>
              <w:right w:w="57" w:type="dxa"/>
            </w:tcMar>
            <w:vAlign w:val="center"/>
          </w:tcPr>
          <w:p>
            <w:pPr>
              <w:spacing w:line="240" w:lineRule="exact"/>
              <w:jc w:val="center"/>
              <w:rPr>
                <w:rFonts w:hint="eastAsia"/>
                <w:kern w:val="0"/>
                <w:sz w:val="21"/>
                <w:szCs w:val="21"/>
              </w:rPr>
            </w:pPr>
          </w:p>
        </w:tc>
        <w:tc>
          <w:tcPr>
            <w:tcW w:w="960"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（四）无法提供</w:t>
            </w:r>
          </w:p>
        </w:tc>
        <w:tc>
          <w:tcPr>
            <w:tcW w:w="2634" w:type="dxa"/>
            <w:noWrap w:val="0"/>
            <w:tcMar>
              <w:left w:w="57" w:type="dxa"/>
              <w:right w:w="57" w:type="dxa"/>
            </w:tcMar>
            <w:vAlign w:val="top"/>
          </w:tcPr>
          <w:p>
            <w:pPr>
              <w:spacing w:line="240" w:lineRule="exact"/>
              <w:rPr>
                <w:kern w:val="0"/>
                <w:sz w:val="21"/>
                <w:szCs w:val="21"/>
              </w:rPr>
            </w:pPr>
            <w:r>
              <w:rPr>
                <w:rFonts w:hint="eastAsia"/>
                <w:kern w:val="0"/>
                <w:sz w:val="21"/>
                <w:szCs w:val="21"/>
              </w:rPr>
              <w:t>1.本机关不掌握相关政府信息</w:t>
            </w:r>
          </w:p>
        </w:tc>
        <w:tc>
          <w:tcPr>
            <w:tcW w:w="643"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53" w:hRule="atLeast"/>
        </w:trPr>
        <w:tc>
          <w:tcPr>
            <w:tcW w:w="786" w:type="dxa"/>
            <w:vMerge w:val="continue"/>
            <w:noWrap w:val="0"/>
            <w:tcMar>
              <w:left w:w="57" w:type="dxa"/>
              <w:right w:w="57" w:type="dxa"/>
            </w:tcMar>
            <w:vAlign w:val="center"/>
          </w:tcPr>
          <w:p>
            <w:pPr>
              <w:spacing w:line="240" w:lineRule="exact"/>
              <w:jc w:val="center"/>
              <w:rPr>
                <w:rFonts w:hint="eastAsia"/>
                <w:kern w:val="0"/>
                <w:sz w:val="21"/>
                <w:szCs w:val="21"/>
              </w:rPr>
            </w:pPr>
          </w:p>
        </w:tc>
        <w:tc>
          <w:tcPr>
            <w:tcW w:w="960"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4" w:type="dxa"/>
            <w:noWrap w:val="0"/>
            <w:tcMar>
              <w:left w:w="57" w:type="dxa"/>
              <w:right w:w="57" w:type="dxa"/>
            </w:tcMar>
            <w:vAlign w:val="top"/>
          </w:tcPr>
          <w:p>
            <w:pPr>
              <w:spacing w:line="240" w:lineRule="exact"/>
              <w:rPr>
                <w:kern w:val="0"/>
                <w:sz w:val="21"/>
                <w:szCs w:val="21"/>
              </w:rPr>
            </w:pPr>
            <w:r>
              <w:rPr>
                <w:rFonts w:hint="eastAsia"/>
                <w:kern w:val="0"/>
                <w:sz w:val="21"/>
                <w:szCs w:val="21"/>
              </w:rPr>
              <w:t>2.没有现成信息需要另行制作</w:t>
            </w:r>
          </w:p>
        </w:tc>
        <w:tc>
          <w:tcPr>
            <w:tcW w:w="643"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7" w:hRule="atLeast"/>
        </w:trPr>
        <w:tc>
          <w:tcPr>
            <w:tcW w:w="786" w:type="dxa"/>
            <w:vMerge w:val="continue"/>
            <w:noWrap w:val="0"/>
            <w:tcMar>
              <w:left w:w="57" w:type="dxa"/>
              <w:right w:w="57" w:type="dxa"/>
            </w:tcMar>
            <w:vAlign w:val="center"/>
          </w:tcPr>
          <w:p>
            <w:pPr>
              <w:spacing w:line="240" w:lineRule="exact"/>
              <w:jc w:val="center"/>
              <w:rPr>
                <w:rFonts w:hint="eastAsia"/>
                <w:kern w:val="0"/>
                <w:sz w:val="21"/>
                <w:szCs w:val="21"/>
              </w:rPr>
            </w:pPr>
          </w:p>
        </w:tc>
        <w:tc>
          <w:tcPr>
            <w:tcW w:w="960"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4" w:type="dxa"/>
            <w:noWrap w:val="0"/>
            <w:tcMar>
              <w:left w:w="57" w:type="dxa"/>
              <w:right w:w="57" w:type="dxa"/>
            </w:tcMar>
            <w:vAlign w:val="top"/>
          </w:tcPr>
          <w:p>
            <w:pPr>
              <w:spacing w:line="240" w:lineRule="exact"/>
              <w:rPr>
                <w:kern w:val="0"/>
                <w:sz w:val="21"/>
                <w:szCs w:val="21"/>
              </w:rPr>
            </w:pPr>
            <w:r>
              <w:rPr>
                <w:rFonts w:hint="eastAsia"/>
                <w:kern w:val="0"/>
                <w:sz w:val="21"/>
                <w:szCs w:val="21"/>
              </w:rPr>
              <w:t>3.补正后申请内容仍不明确</w:t>
            </w:r>
          </w:p>
        </w:tc>
        <w:tc>
          <w:tcPr>
            <w:tcW w:w="643"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7" w:hRule="atLeast"/>
        </w:trPr>
        <w:tc>
          <w:tcPr>
            <w:tcW w:w="786" w:type="dxa"/>
            <w:vMerge w:val="continue"/>
            <w:noWrap w:val="0"/>
            <w:tcMar>
              <w:left w:w="57" w:type="dxa"/>
              <w:right w:w="57" w:type="dxa"/>
            </w:tcMar>
            <w:vAlign w:val="center"/>
          </w:tcPr>
          <w:p>
            <w:pPr>
              <w:spacing w:line="240" w:lineRule="exact"/>
              <w:jc w:val="center"/>
              <w:rPr>
                <w:rFonts w:hint="eastAsia"/>
                <w:kern w:val="0"/>
                <w:sz w:val="21"/>
                <w:szCs w:val="21"/>
              </w:rPr>
            </w:pPr>
          </w:p>
        </w:tc>
        <w:tc>
          <w:tcPr>
            <w:tcW w:w="960"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（五）不予处理</w:t>
            </w:r>
          </w:p>
        </w:tc>
        <w:tc>
          <w:tcPr>
            <w:tcW w:w="2634" w:type="dxa"/>
            <w:noWrap w:val="0"/>
            <w:tcMar>
              <w:left w:w="57" w:type="dxa"/>
              <w:right w:w="57" w:type="dxa"/>
            </w:tcMar>
            <w:vAlign w:val="top"/>
          </w:tcPr>
          <w:p>
            <w:pPr>
              <w:spacing w:line="240" w:lineRule="exact"/>
              <w:rPr>
                <w:kern w:val="0"/>
                <w:sz w:val="21"/>
                <w:szCs w:val="21"/>
              </w:rPr>
            </w:pPr>
            <w:r>
              <w:rPr>
                <w:rFonts w:hint="eastAsia"/>
                <w:kern w:val="0"/>
                <w:sz w:val="21"/>
                <w:szCs w:val="21"/>
              </w:rPr>
              <w:t>1.信访举报投诉类申请</w:t>
            </w:r>
          </w:p>
        </w:tc>
        <w:tc>
          <w:tcPr>
            <w:tcW w:w="643"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7" w:hRule="atLeast"/>
        </w:trPr>
        <w:tc>
          <w:tcPr>
            <w:tcW w:w="786" w:type="dxa"/>
            <w:vMerge w:val="continue"/>
            <w:noWrap w:val="0"/>
            <w:tcMar>
              <w:left w:w="57" w:type="dxa"/>
              <w:right w:w="57" w:type="dxa"/>
            </w:tcMar>
            <w:vAlign w:val="center"/>
          </w:tcPr>
          <w:p>
            <w:pPr>
              <w:spacing w:line="240" w:lineRule="exact"/>
              <w:jc w:val="center"/>
              <w:rPr>
                <w:rFonts w:hint="eastAsia"/>
                <w:kern w:val="0"/>
                <w:sz w:val="21"/>
                <w:szCs w:val="21"/>
              </w:rPr>
            </w:pPr>
          </w:p>
        </w:tc>
        <w:tc>
          <w:tcPr>
            <w:tcW w:w="960"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4" w:type="dxa"/>
            <w:noWrap w:val="0"/>
            <w:tcMar>
              <w:left w:w="57" w:type="dxa"/>
              <w:right w:w="57" w:type="dxa"/>
            </w:tcMar>
            <w:vAlign w:val="top"/>
          </w:tcPr>
          <w:p>
            <w:pPr>
              <w:spacing w:line="240" w:lineRule="exact"/>
              <w:rPr>
                <w:kern w:val="0"/>
                <w:sz w:val="21"/>
                <w:szCs w:val="21"/>
              </w:rPr>
            </w:pPr>
            <w:r>
              <w:rPr>
                <w:rFonts w:hint="eastAsia"/>
                <w:kern w:val="0"/>
                <w:sz w:val="21"/>
                <w:szCs w:val="21"/>
              </w:rPr>
              <w:t>2.重复申请</w:t>
            </w:r>
          </w:p>
        </w:tc>
        <w:tc>
          <w:tcPr>
            <w:tcW w:w="643"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7" w:hRule="atLeast"/>
        </w:trPr>
        <w:tc>
          <w:tcPr>
            <w:tcW w:w="786" w:type="dxa"/>
            <w:vMerge w:val="continue"/>
            <w:noWrap w:val="0"/>
            <w:tcMar>
              <w:left w:w="57" w:type="dxa"/>
              <w:right w:w="57" w:type="dxa"/>
            </w:tcMar>
            <w:vAlign w:val="center"/>
          </w:tcPr>
          <w:p>
            <w:pPr>
              <w:spacing w:line="240" w:lineRule="exact"/>
              <w:jc w:val="center"/>
              <w:rPr>
                <w:rFonts w:hint="eastAsia"/>
                <w:kern w:val="0"/>
                <w:sz w:val="21"/>
                <w:szCs w:val="21"/>
              </w:rPr>
            </w:pPr>
          </w:p>
        </w:tc>
        <w:tc>
          <w:tcPr>
            <w:tcW w:w="960"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4" w:type="dxa"/>
            <w:noWrap w:val="0"/>
            <w:tcMar>
              <w:left w:w="57" w:type="dxa"/>
              <w:right w:w="57" w:type="dxa"/>
            </w:tcMar>
            <w:vAlign w:val="top"/>
          </w:tcPr>
          <w:p>
            <w:pPr>
              <w:spacing w:line="240" w:lineRule="exact"/>
              <w:rPr>
                <w:kern w:val="0"/>
                <w:sz w:val="21"/>
                <w:szCs w:val="21"/>
              </w:rPr>
            </w:pPr>
            <w:r>
              <w:rPr>
                <w:rFonts w:hint="eastAsia"/>
                <w:kern w:val="0"/>
                <w:sz w:val="21"/>
                <w:szCs w:val="21"/>
              </w:rPr>
              <w:t>3.要求提供公开出版物</w:t>
            </w:r>
          </w:p>
        </w:tc>
        <w:tc>
          <w:tcPr>
            <w:tcW w:w="643"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7" w:hRule="atLeast"/>
        </w:trPr>
        <w:tc>
          <w:tcPr>
            <w:tcW w:w="786" w:type="dxa"/>
            <w:vMerge w:val="continue"/>
            <w:noWrap w:val="0"/>
            <w:tcMar>
              <w:left w:w="57" w:type="dxa"/>
              <w:right w:w="57" w:type="dxa"/>
            </w:tcMar>
            <w:vAlign w:val="center"/>
          </w:tcPr>
          <w:p>
            <w:pPr>
              <w:spacing w:line="240" w:lineRule="exact"/>
              <w:jc w:val="center"/>
              <w:rPr>
                <w:rFonts w:hint="eastAsia"/>
                <w:kern w:val="0"/>
                <w:sz w:val="21"/>
                <w:szCs w:val="21"/>
              </w:rPr>
            </w:pPr>
          </w:p>
        </w:tc>
        <w:tc>
          <w:tcPr>
            <w:tcW w:w="960"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4" w:type="dxa"/>
            <w:noWrap w:val="0"/>
            <w:tcMar>
              <w:left w:w="57" w:type="dxa"/>
              <w:right w:w="57" w:type="dxa"/>
            </w:tcMar>
            <w:vAlign w:val="top"/>
          </w:tcPr>
          <w:p>
            <w:pPr>
              <w:spacing w:line="240" w:lineRule="exact"/>
              <w:rPr>
                <w:kern w:val="0"/>
                <w:sz w:val="21"/>
                <w:szCs w:val="21"/>
              </w:rPr>
            </w:pPr>
            <w:r>
              <w:rPr>
                <w:rFonts w:hint="eastAsia"/>
                <w:kern w:val="0"/>
                <w:sz w:val="21"/>
                <w:szCs w:val="21"/>
              </w:rPr>
              <w:t>4.无正当理由大量反复申请</w:t>
            </w:r>
          </w:p>
        </w:tc>
        <w:tc>
          <w:tcPr>
            <w:tcW w:w="643"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84" w:hRule="atLeast"/>
        </w:trPr>
        <w:tc>
          <w:tcPr>
            <w:tcW w:w="786" w:type="dxa"/>
            <w:vMerge w:val="continue"/>
            <w:noWrap w:val="0"/>
            <w:tcMar>
              <w:left w:w="57" w:type="dxa"/>
              <w:right w:w="57" w:type="dxa"/>
            </w:tcMar>
            <w:vAlign w:val="center"/>
          </w:tcPr>
          <w:p>
            <w:pPr>
              <w:spacing w:line="240" w:lineRule="exact"/>
              <w:jc w:val="center"/>
              <w:rPr>
                <w:rFonts w:hint="eastAsia"/>
                <w:kern w:val="0"/>
                <w:sz w:val="21"/>
                <w:szCs w:val="21"/>
              </w:rPr>
            </w:pPr>
          </w:p>
        </w:tc>
        <w:tc>
          <w:tcPr>
            <w:tcW w:w="960"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4" w:type="dxa"/>
            <w:noWrap w:val="0"/>
            <w:tcMar>
              <w:left w:w="57" w:type="dxa"/>
              <w:right w:w="57" w:type="dxa"/>
            </w:tcMar>
            <w:vAlign w:val="center"/>
          </w:tcPr>
          <w:p>
            <w:pPr>
              <w:spacing w:line="240" w:lineRule="exact"/>
              <w:rPr>
                <w:kern w:val="0"/>
                <w:sz w:val="21"/>
                <w:szCs w:val="21"/>
              </w:rPr>
            </w:pPr>
            <w:r>
              <w:rPr>
                <w:rFonts w:hint="eastAsia"/>
                <w:kern w:val="0"/>
                <w:sz w:val="21"/>
                <w:szCs w:val="21"/>
              </w:rPr>
              <w:t>5.要求行政机关确认或重新出具已获取信息</w:t>
            </w:r>
          </w:p>
        </w:tc>
        <w:tc>
          <w:tcPr>
            <w:tcW w:w="643"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19" w:hRule="atLeast"/>
        </w:trPr>
        <w:tc>
          <w:tcPr>
            <w:tcW w:w="786" w:type="dxa"/>
            <w:vMerge w:val="continue"/>
            <w:noWrap w:val="0"/>
            <w:tcMar>
              <w:left w:w="57" w:type="dxa"/>
              <w:right w:w="57" w:type="dxa"/>
            </w:tcMar>
            <w:vAlign w:val="center"/>
          </w:tcPr>
          <w:p>
            <w:pPr>
              <w:spacing w:line="240" w:lineRule="exact"/>
              <w:jc w:val="center"/>
              <w:rPr>
                <w:rFonts w:hint="eastAsia"/>
                <w:kern w:val="0"/>
                <w:sz w:val="21"/>
                <w:szCs w:val="21"/>
              </w:rPr>
            </w:pPr>
          </w:p>
        </w:tc>
        <w:tc>
          <w:tcPr>
            <w:tcW w:w="960"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（六）其他处理</w:t>
            </w:r>
          </w:p>
        </w:tc>
        <w:tc>
          <w:tcPr>
            <w:tcW w:w="2634" w:type="dxa"/>
            <w:noWrap w:val="0"/>
            <w:tcMar>
              <w:left w:w="57" w:type="dxa"/>
              <w:right w:w="57" w:type="dxa"/>
            </w:tcMar>
            <w:vAlign w:val="center"/>
          </w:tcPr>
          <w:p>
            <w:pPr>
              <w:spacing w:line="240" w:lineRule="exact"/>
              <w:rPr>
                <w:kern w:val="0"/>
                <w:sz w:val="21"/>
                <w:szCs w:val="21"/>
              </w:rPr>
            </w:pPr>
            <w:r>
              <w:rPr>
                <w:rFonts w:hint="eastAsia"/>
                <w:kern w:val="0"/>
                <w:sz w:val="21"/>
                <w:szCs w:val="21"/>
              </w:rPr>
              <w:t>1.申请人无正当理由逾期不补正、行政机关不再处理其政府信息公开申请</w:t>
            </w:r>
          </w:p>
        </w:tc>
        <w:tc>
          <w:tcPr>
            <w:tcW w:w="643"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084" w:hRule="atLeast"/>
        </w:trPr>
        <w:tc>
          <w:tcPr>
            <w:tcW w:w="786" w:type="dxa"/>
            <w:vMerge w:val="continue"/>
            <w:noWrap w:val="0"/>
            <w:tcMar>
              <w:left w:w="57" w:type="dxa"/>
              <w:right w:w="57" w:type="dxa"/>
            </w:tcMar>
            <w:vAlign w:val="center"/>
          </w:tcPr>
          <w:p>
            <w:pPr>
              <w:spacing w:line="240" w:lineRule="exact"/>
              <w:jc w:val="center"/>
              <w:rPr>
                <w:rFonts w:hint="eastAsia"/>
                <w:kern w:val="0"/>
                <w:sz w:val="21"/>
                <w:szCs w:val="21"/>
              </w:rPr>
            </w:pPr>
          </w:p>
        </w:tc>
        <w:tc>
          <w:tcPr>
            <w:tcW w:w="960"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4" w:type="dxa"/>
            <w:noWrap w:val="0"/>
            <w:tcMar>
              <w:left w:w="57" w:type="dxa"/>
              <w:right w:w="57" w:type="dxa"/>
            </w:tcMar>
            <w:vAlign w:val="center"/>
          </w:tcPr>
          <w:p>
            <w:pPr>
              <w:spacing w:line="240" w:lineRule="exact"/>
              <w:rPr>
                <w:kern w:val="0"/>
                <w:sz w:val="21"/>
                <w:szCs w:val="21"/>
              </w:rPr>
            </w:pPr>
            <w:r>
              <w:rPr>
                <w:rFonts w:hint="eastAsia"/>
                <w:kern w:val="0"/>
                <w:sz w:val="21"/>
                <w:szCs w:val="21"/>
              </w:rPr>
              <w:t>2.申请人逾期未按收费通知要求缴纳费用、行政机关不再处理其政府信息公开申请</w:t>
            </w:r>
          </w:p>
        </w:tc>
        <w:tc>
          <w:tcPr>
            <w:tcW w:w="643"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7" w:hRule="atLeast"/>
        </w:trPr>
        <w:tc>
          <w:tcPr>
            <w:tcW w:w="786" w:type="dxa"/>
            <w:vMerge w:val="continue"/>
            <w:noWrap w:val="0"/>
            <w:tcMar>
              <w:left w:w="57" w:type="dxa"/>
              <w:right w:w="57" w:type="dxa"/>
            </w:tcMar>
            <w:vAlign w:val="center"/>
          </w:tcPr>
          <w:p>
            <w:pPr>
              <w:spacing w:line="240" w:lineRule="exact"/>
              <w:jc w:val="center"/>
              <w:rPr>
                <w:rFonts w:hint="eastAsia"/>
                <w:kern w:val="0"/>
                <w:sz w:val="21"/>
                <w:szCs w:val="21"/>
              </w:rPr>
            </w:pPr>
          </w:p>
        </w:tc>
        <w:tc>
          <w:tcPr>
            <w:tcW w:w="960"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4" w:type="dxa"/>
            <w:noWrap w:val="0"/>
            <w:tcMar>
              <w:left w:w="57" w:type="dxa"/>
              <w:right w:w="57" w:type="dxa"/>
            </w:tcMar>
            <w:vAlign w:val="center"/>
          </w:tcPr>
          <w:p>
            <w:pPr>
              <w:spacing w:line="240" w:lineRule="exact"/>
              <w:rPr>
                <w:kern w:val="0"/>
                <w:sz w:val="21"/>
                <w:szCs w:val="21"/>
              </w:rPr>
            </w:pPr>
            <w:r>
              <w:rPr>
                <w:rFonts w:hint="eastAsia"/>
                <w:kern w:val="0"/>
                <w:sz w:val="21"/>
                <w:szCs w:val="21"/>
              </w:rPr>
              <w:t>3.其他</w:t>
            </w:r>
          </w:p>
        </w:tc>
        <w:tc>
          <w:tcPr>
            <w:tcW w:w="643"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7" w:hRule="atLeast"/>
        </w:trPr>
        <w:tc>
          <w:tcPr>
            <w:tcW w:w="786" w:type="dxa"/>
            <w:vMerge w:val="continue"/>
            <w:noWrap w:val="0"/>
            <w:tcMar>
              <w:left w:w="57" w:type="dxa"/>
              <w:right w:w="57" w:type="dxa"/>
            </w:tcMar>
            <w:vAlign w:val="center"/>
          </w:tcPr>
          <w:p>
            <w:pPr>
              <w:spacing w:line="240" w:lineRule="exact"/>
              <w:jc w:val="center"/>
              <w:rPr>
                <w:rFonts w:hint="eastAsia"/>
                <w:kern w:val="0"/>
                <w:sz w:val="21"/>
                <w:szCs w:val="21"/>
              </w:rPr>
            </w:pPr>
          </w:p>
        </w:tc>
        <w:tc>
          <w:tcPr>
            <w:tcW w:w="3594" w:type="dxa"/>
            <w:gridSpan w:val="2"/>
            <w:noWrap w:val="0"/>
            <w:tcMar>
              <w:left w:w="57" w:type="dxa"/>
              <w:right w:w="57" w:type="dxa"/>
            </w:tcMar>
            <w:vAlign w:val="center"/>
          </w:tcPr>
          <w:p>
            <w:pPr>
              <w:spacing w:line="240" w:lineRule="exact"/>
              <w:jc w:val="center"/>
              <w:rPr>
                <w:kern w:val="0"/>
                <w:sz w:val="21"/>
                <w:szCs w:val="21"/>
              </w:rPr>
            </w:pPr>
            <w:r>
              <w:rPr>
                <w:rFonts w:hint="eastAsia"/>
                <w:kern w:val="0"/>
                <w:sz w:val="21"/>
                <w:szCs w:val="21"/>
              </w:rPr>
              <w:t>（七）总计</w:t>
            </w:r>
          </w:p>
        </w:tc>
        <w:tc>
          <w:tcPr>
            <w:tcW w:w="643" w:type="dxa"/>
            <w:noWrap w:val="0"/>
            <w:tcMar>
              <w:left w:w="57" w:type="dxa"/>
              <w:right w:w="57" w:type="dxa"/>
            </w:tcMar>
            <w:vAlign w:val="center"/>
          </w:tcPr>
          <w:p>
            <w:pPr>
              <w:spacing w:line="240" w:lineRule="exact"/>
              <w:jc w:val="center"/>
              <w:rPr>
                <w:rFonts w:hint="default"/>
                <w:kern w:val="0"/>
                <w:sz w:val="21"/>
                <w:szCs w:val="21"/>
                <w:lang w:val="en-US"/>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2" w:type="dxa"/>
            <w:noWrap w:val="0"/>
            <w:tcMar>
              <w:left w:w="57" w:type="dxa"/>
              <w:right w:w="57" w:type="dxa"/>
            </w:tcMar>
            <w:vAlign w:val="center"/>
          </w:tcPr>
          <w:p>
            <w:pPr>
              <w:spacing w:line="240" w:lineRule="exact"/>
              <w:jc w:val="center"/>
              <w:rPr>
                <w:rFonts w:hint="default"/>
                <w:kern w:val="0"/>
                <w:sz w:val="21"/>
                <w:szCs w:val="21"/>
                <w:lang w:val="en-US"/>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09" w:hRule="atLeast"/>
        </w:trPr>
        <w:tc>
          <w:tcPr>
            <w:tcW w:w="4380" w:type="dxa"/>
            <w:gridSpan w:val="3"/>
            <w:noWrap w:val="0"/>
            <w:tcMar>
              <w:left w:w="57" w:type="dxa"/>
              <w:right w:w="57" w:type="dxa"/>
            </w:tcMar>
            <w:vAlign w:val="center"/>
          </w:tcPr>
          <w:p>
            <w:pPr>
              <w:spacing w:line="240" w:lineRule="exact"/>
              <w:jc w:val="center"/>
              <w:rPr>
                <w:kern w:val="0"/>
                <w:sz w:val="21"/>
                <w:szCs w:val="21"/>
              </w:rPr>
            </w:pPr>
            <w:r>
              <w:rPr>
                <w:rFonts w:hint="eastAsia"/>
                <w:kern w:val="0"/>
                <w:sz w:val="21"/>
                <w:szCs w:val="21"/>
              </w:rPr>
              <w:t>四、结转下年度继续办理</w:t>
            </w:r>
          </w:p>
        </w:tc>
        <w:tc>
          <w:tcPr>
            <w:tcW w:w="643"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5"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2" w:type="dxa"/>
            <w:noWrap w:val="0"/>
            <w:tcMar>
              <w:left w:w="57" w:type="dxa"/>
              <w:right w:w="57" w:type="dxa"/>
            </w:tcMar>
            <w:vAlign w:val="center"/>
          </w:tcPr>
          <w:p>
            <w:pPr>
              <w:spacing w:line="240" w:lineRule="exact"/>
              <w:jc w:val="center"/>
              <w:rPr>
                <w:rFonts w:hint="eastAsia"/>
                <w:kern w:val="0"/>
                <w:sz w:val="21"/>
                <w:szCs w:val="21"/>
              </w:rPr>
            </w:pPr>
            <w:r>
              <w:rPr>
                <w:rFonts w:hint="eastAsia"/>
                <w:kern w:val="0"/>
                <w:sz w:val="21"/>
                <w:szCs w:val="21"/>
                <w:lang w:val="en-US" w:eastAsia="zh-CN"/>
              </w:rPr>
              <w:t>0</w:t>
            </w:r>
          </w:p>
        </w:tc>
      </w:tr>
    </w:tbl>
    <w:p>
      <w:pPr>
        <w:pStyle w:val="7"/>
        <w:widowControl/>
        <w:spacing w:before="0" w:beforeAutospacing="0" w:after="0" w:afterAutospacing="0" w:line="560" w:lineRule="exact"/>
        <w:ind w:firstLine="640" w:firstLineChars="200"/>
        <w:jc w:val="both"/>
        <w:rPr>
          <w:rFonts w:hint="eastAsia" w:ascii="黑体" w:hAnsi="黑体" w:eastAsia="黑体" w:cs="Times New Roman"/>
          <w:szCs w:val="32"/>
        </w:rPr>
      </w:pPr>
      <w:r>
        <w:rPr>
          <w:rFonts w:hint="eastAsia" w:ascii="黑体" w:hAnsi="黑体" w:eastAsia="黑体" w:cs="Times New Roman"/>
          <w:szCs w:val="32"/>
        </w:rPr>
        <w:t>三、收到和处理政府信息公开申请情况</w:t>
      </w:r>
    </w:p>
    <w:p>
      <w:pPr>
        <w:pStyle w:val="7"/>
        <w:widowControl/>
        <w:spacing w:before="0" w:beforeAutospacing="0" w:after="0" w:afterAutospacing="0" w:line="560" w:lineRule="exact"/>
        <w:ind w:firstLine="640" w:firstLineChars="200"/>
        <w:jc w:val="both"/>
        <w:rPr>
          <w:rFonts w:hint="eastAsia" w:ascii="黑体" w:hAnsi="黑体" w:eastAsia="黑体" w:cs="Times New Roman"/>
          <w:szCs w:val="32"/>
        </w:rPr>
      </w:pPr>
      <w:r>
        <w:rPr>
          <w:rFonts w:hint="eastAsia" w:ascii="黑体" w:hAnsi="黑体" w:eastAsia="黑体" w:cs="Times New Roman"/>
          <w:szCs w:val="32"/>
        </w:rPr>
        <w:t>四、政府信息公开行政复议、行政诉讼情况</w:t>
      </w:r>
    </w:p>
    <w:tbl>
      <w:tblPr>
        <w:tblStyle w:val="8"/>
        <w:tblW w:w="936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35"/>
        <w:gridCol w:w="540"/>
        <w:gridCol w:w="649"/>
        <w:gridCol w:w="649"/>
        <w:gridCol w:w="650"/>
        <w:gridCol w:w="650"/>
        <w:gridCol w:w="576"/>
        <w:gridCol w:w="650"/>
        <w:gridCol w:w="650"/>
        <w:gridCol w:w="650"/>
        <w:gridCol w:w="650"/>
        <w:gridCol w:w="47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122"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行政复议</w:t>
            </w:r>
          </w:p>
        </w:tc>
        <w:tc>
          <w:tcPr>
            <w:tcW w:w="6246"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结果维持</w:t>
            </w:r>
          </w:p>
        </w:tc>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type="textWrapping"/>
            </w:r>
            <w:r>
              <w:rPr>
                <w:rFonts w:hint="eastAsia"/>
                <w:kern w:val="0"/>
                <w:sz w:val="21"/>
                <w:szCs w:val="21"/>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其他</w:t>
            </w:r>
            <w:r>
              <w:rPr>
                <w:rFonts w:hint="eastAsia"/>
                <w:kern w:val="0"/>
                <w:sz w:val="21"/>
                <w:szCs w:val="21"/>
              </w:rPr>
              <w:br w:type="textWrapping"/>
            </w:r>
            <w:r>
              <w:rPr>
                <w:rFonts w:hint="eastAsia"/>
                <w:kern w:val="0"/>
                <w:sz w:val="21"/>
                <w:szCs w:val="21"/>
              </w:rPr>
              <w:t>结果</w:t>
            </w:r>
          </w:p>
        </w:tc>
        <w:tc>
          <w:tcPr>
            <w:tcW w:w="635"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尚未</w:t>
            </w:r>
            <w:r>
              <w:rPr>
                <w:rFonts w:hint="eastAsia"/>
                <w:kern w:val="0"/>
                <w:sz w:val="21"/>
                <w:szCs w:val="21"/>
              </w:rPr>
              <w:br w:type="textWrapping"/>
            </w:r>
            <w:r>
              <w:rPr>
                <w:rFonts w:hint="eastAsia"/>
                <w:kern w:val="0"/>
                <w:sz w:val="21"/>
                <w:szCs w:val="21"/>
              </w:rPr>
              <w:t>审结</w:t>
            </w:r>
          </w:p>
        </w:tc>
        <w:tc>
          <w:tcPr>
            <w:tcW w:w="540"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总计</w:t>
            </w:r>
          </w:p>
        </w:tc>
        <w:tc>
          <w:tcPr>
            <w:tcW w:w="3174"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未经复议直接起诉</w:t>
            </w:r>
          </w:p>
        </w:tc>
        <w:tc>
          <w:tcPr>
            <w:tcW w:w="3072"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kern w:val="0"/>
                <w:sz w:val="21"/>
                <w:szCs w:val="21"/>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kern w:val="0"/>
                <w:sz w:val="21"/>
                <w:szCs w:val="21"/>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kern w:val="0"/>
                <w:sz w:val="21"/>
                <w:szCs w:val="21"/>
              </w:rPr>
            </w:pPr>
          </w:p>
        </w:tc>
        <w:tc>
          <w:tcPr>
            <w:tcW w:w="635"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kern w:val="0"/>
                <w:sz w:val="21"/>
                <w:szCs w:val="21"/>
              </w:rPr>
            </w:pPr>
          </w:p>
        </w:tc>
        <w:tc>
          <w:tcPr>
            <w:tcW w:w="54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kern w:val="0"/>
                <w:sz w:val="21"/>
                <w:szCs w:val="21"/>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type="textWrapping"/>
            </w:r>
            <w:r>
              <w:rPr>
                <w:rFonts w:hint="eastAsia"/>
                <w:kern w:val="0"/>
                <w:sz w:val="21"/>
                <w:szCs w:val="21"/>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type="textWrapping"/>
            </w:r>
            <w:r>
              <w:rPr>
                <w:rFonts w:hint="eastAsia"/>
                <w:kern w:val="0"/>
                <w:sz w:val="21"/>
                <w:szCs w:val="21"/>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其他</w:t>
            </w:r>
            <w:r>
              <w:rPr>
                <w:rFonts w:hint="eastAsia"/>
                <w:kern w:val="0"/>
                <w:sz w:val="21"/>
                <w:szCs w:val="21"/>
              </w:rPr>
              <w:br w:type="textWrapping"/>
            </w:r>
            <w:r>
              <w:rPr>
                <w:rFonts w:hint="eastAsia"/>
                <w:kern w:val="0"/>
                <w:sz w:val="21"/>
                <w:szCs w:val="21"/>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尚未</w:t>
            </w:r>
            <w:r>
              <w:rPr>
                <w:rFonts w:hint="eastAsia"/>
                <w:kern w:val="0"/>
                <w:sz w:val="21"/>
                <w:szCs w:val="21"/>
              </w:rPr>
              <w:br w:type="textWrapping"/>
            </w:r>
            <w:r>
              <w:rPr>
                <w:rFonts w:hint="eastAsia"/>
                <w:kern w:val="0"/>
                <w:sz w:val="21"/>
                <w:szCs w:val="21"/>
              </w:rPr>
              <w:t>审结</w:t>
            </w:r>
          </w:p>
        </w:tc>
        <w:tc>
          <w:tcPr>
            <w:tcW w:w="576"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总计</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type="textWrapping"/>
            </w:r>
            <w:r>
              <w:rPr>
                <w:rFonts w:hint="eastAsia"/>
                <w:kern w:val="0"/>
                <w:sz w:val="21"/>
                <w:szCs w:val="21"/>
              </w:rPr>
              <w:t>维持</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type="textWrapping"/>
            </w:r>
            <w:r>
              <w:rPr>
                <w:rFonts w:hint="eastAsia"/>
                <w:kern w:val="0"/>
                <w:sz w:val="21"/>
                <w:szCs w:val="21"/>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其他</w:t>
            </w:r>
            <w:r>
              <w:rPr>
                <w:rFonts w:hint="eastAsia"/>
                <w:kern w:val="0"/>
                <w:sz w:val="21"/>
                <w:szCs w:val="21"/>
              </w:rPr>
              <w:br w:type="textWrapping"/>
            </w:r>
            <w:r>
              <w:rPr>
                <w:rFonts w:hint="eastAsia"/>
                <w:kern w:val="0"/>
                <w:sz w:val="21"/>
                <w:szCs w:val="21"/>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尚未</w:t>
            </w:r>
            <w:r>
              <w:rPr>
                <w:rFonts w:hint="eastAsia"/>
                <w:kern w:val="0"/>
                <w:sz w:val="21"/>
                <w:szCs w:val="21"/>
              </w:rPr>
              <w:br w:type="textWrapping"/>
            </w:r>
            <w:r>
              <w:rPr>
                <w:rFonts w:hint="eastAsia"/>
                <w:kern w:val="0"/>
                <w:sz w:val="21"/>
                <w:szCs w:val="21"/>
              </w:rPr>
              <w:t>审结</w:t>
            </w:r>
          </w:p>
        </w:tc>
        <w:tc>
          <w:tcPr>
            <w:tcW w:w="47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lang w:val="en-US" w:eastAsia="zh-CN"/>
              </w:rPr>
              <w:t>0</w:t>
            </w:r>
            <w:r>
              <w:rPr>
                <w:kern w:val="0"/>
                <w:sz w:val="21"/>
                <w:szCs w:val="21"/>
              </w:rPr>
              <w:t>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635"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54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576"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472"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kern w:val="0"/>
                <w:sz w:val="21"/>
                <w:szCs w:val="21"/>
                <w:lang w:val="en-US" w:eastAsia="zh-CN"/>
              </w:rPr>
            </w:pPr>
            <w:r>
              <w:rPr>
                <w:rFonts w:hint="eastAsia"/>
                <w:kern w:val="0"/>
                <w:sz w:val="21"/>
                <w:szCs w:val="21"/>
                <w:lang w:val="en-US" w:eastAsia="zh-CN"/>
              </w:rPr>
              <w:t>0</w:t>
            </w:r>
          </w:p>
        </w:tc>
      </w:tr>
    </w:tbl>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黑体" w:hAnsi="黑体" w:eastAsia="黑体" w:cs="Times New Roman"/>
          <w:szCs w:val="32"/>
        </w:rPr>
      </w:pPr>
      <w:r>
        <w:rPr>
          <w:rFonts w:hint="eastAsia" w:ascii="黑体" w:hAnsi="黑体" w:eastAsia="黑体" w:cs="Times New Roman"/>
          <w:szCs w:val="32"/>
        </w:rPr>
        <w:t>五、存在的主要问题及改进情况</w:t>
      </w:r>
    </w:p>
    <w:p>
      <w:pPr>
        <w:keepNext w:val="0"/>
        <w:keepLines w:val="0"/>
        <w:pageBreakBefore w:val="0"/>
        <w:widowControl/>
        <w:kinsoku/>
        <w:wordWrap/>
        <w:overflowPunct/>
        <w:topLinePunct w:val="0"/>
        <w:autoSpaceDE/>
        <w:autoSpaceDN/>
        <w:bidi w:val="0"/>
        <w:adjustRightInd/>
        <w:snapToGrid/>
        <w:spacing w:line="500" w:lineRule="exact"/>
        <w:ind w:firstLine="601"/>
        <w:textAlignment w:val="auto"/>
        <w:rPr>
          <w:rFonts w:hint="eastAsia" w:ascii="楷体_GB2312" w:hAnsi="楷体_GB2312" w:eastAsia="楷体_GB2312" w:cs="楷体_GB2312"/>
          <w:b/>
          <w:bCs/>
          <w:sz w:val="32"/>
          <w:lang w:eastAsia="zh-CN"/>
        </w:rPr>
      </w:pPr>
      <w:r>
        <w:rPr>
          <w:rFonts w:hint="eastAsia" w:ascii="楷体_GB2312" w:hAnsi="楷体_GB2312" w:eastAsia="楷体_GB2312" w:cs="楷体_GB2312"/>
          <w:b/>
          <w:bCs/>
          <w:sz w:val="32"/>
          <w:lang w:eastAsia="zh-CN"/>
        </w:rPr>
        <w:t>（一）存在问题</w:t>
      </w:r>
    </w:p>
    <w:p>
      <w:pPr>
        <w:keepNext w:val="0"/>
        <w:keepLines w:val="0"/>
        <w:pageBreakBefore w:val="0"/>
        <w:widowControl/>
        <w:kinsoku/>
        <w:wordWrap/>
        <w:overflowPunct/>
        <w:topLinePunct w:val="0"/>
        <w:autoSpaceDE/>
        <w:autoSpaceDN/>
        <w:bidi w:val="0"/>
        <w:adjustRightInd/>
        <w:snapToGrid/>
        <w:spacing w:line="500" w:lineRule="exact"/>
        <w:ind w:firstLine="601"/>
        <w:textAlignment w:val="auto"/>
        <w:rPr>
          <w:rFonts w:hint="eastAsia" w:ascii="仿宋_GB2312" w:hAnsi="Times New Roman" w:cs="Times New Roman"/>
          <w:sz w:val="32"/>
          <w:lang w:val="zh-CN" w:eastAsia="zh-CN"/>
        </w:rPr>
      </w:pPr>
      <w:r>
        <w:rPr>
          <w:rFonts w:hint="eastAsia" w:ascii="仿宋_GB2312" w:hAnsi="Times New Roman" w:cs="Times New Roman"/>
          <w:sz w:val="32"/>
          <w:lang w:val="zh-CN" w:eastAsia="zh-CN"/>
        </w:rPr>
        <w:t>一是公开的政府信息“内涵”和“外延”需进一步拓展。</w:t>
      </w:r>
    </w:p>
    <w:p>
      <w:pPr>
        <w:keepNext w:val="0"/>
        <w:keepLines w:val="0"/>
        <w:pageBreakBefore w:val="0"/>
        <w:widowControl/>
        <w:kinsoku/>
        <w:wordWrap/>
        <w:overflowPunct/>
        <w:topLinePunct w:val="0"/>
        <w:autoSpaceDE/>
        <w:autoSpaceDN/>
        <w:bidi w:val="0"/>
        <w:adjustRightInd/>
        <w:snapToGrid/>
        <w:spacing w:line="500" w:lineRule="exact"/>
        <w:ind w:firstLine="601"/>
        <w:textAlignment w:val="auto"/>
        <w:rPr>
          <w:rFonts w:hint="eastAsia" w:ascii="仿宋_GB2312" w:hAnsi="Times New Roman" w:cs="Times New Roman"/>
          <w:sz w:val="32"/>
          <w:lang w:val="zh-CN" w:eastAsia="zh-CN"/>
        </w:rPr>
      </w:pPr>
      <w:r>
        <w:rPr>
          <w:rFonts w:hint="eastAsia" w:ascii="仿宋_GB2312" w:hAnsi="Times New Roman" w:cs="Times New Roman"/>
          <w:sz w:val="32"/>
          <w:lang w:val="zh-CN" w:eastAsia="zh-CN"/>
        </w:rPr>
        <w:t>二是信息公开的主动性和时效性</w:t>
      </w:r>
      <w:r>
        <w:rPr>
          <w:rFonts w:hint="eastAsia" w:ascii="仿宋_GB2312" w:cs="Times New Roman"/>
          <w:sz w:val="32"/>
          <w:lang w:val="zh-CN" w:eastAsia="zh-CN"/>
        </w:rPr>
        <w:t>还需提高</w:t>
      </w:r>
      <w:r>
        <w:rPr>
          <w:rFonts w:hint="eastAsia" w:ascii="仿宋_GB2312" w:hAnsi="Times New Roman" w:cs="Times New Roman"/>
          <w:sz w:val="32"/>
          <w:lang w:val="zh-CN" w:eastAsia="zh-CN"/>
        </w:rPr>
        <w:t>，平台载体不够丰富。</w:t>
      </w:r>
    </w:p>
    <w:p>
      <w:pPr>
        <w:keepNext w:val="0"/>
        <w:keepLines w:val="0"/>
        <w:pageBreakBefore w:val="0"/>
        <w:widowControl/>
        <w:kinsoku/>
        <w:wordWrap/>
        <w:overflowPunct/>
        <w:topLinePunct w:val="0"/>
        <w:autoSpaceDE/>
        <w:autoSpaceDN/>
        <w:bidi w:val="0"/>
        <w:adjustRightInd/>
        <w:snapToGrid/>
        <w:spacing w:line="500" w:lineRule="exact"/>
        <w:ind w:firstLine="601"/>
        <w:textAlignment w:val="auto"/>
        <w:rPr>
          <w:rFonts w:hint="eastAsia" w:ascii="楷体_GB2312" w:hAnsi="楷体_GB2312" w:eastAsia="楷体_GB2312" w:cs="楷体_GB2312"/>
          <w:b/>
          <w:bCs/>
          <w:sz w:val="32"/>
        </w:rPr>
      </w:pPr>
      <w:r>
        <w:rPr>
          <w:rFonts w:hint="eastAsia" w:ascii="楷体_GB2312" w:hAnsi="楷体_GB2312" w:eastAsia="楷体_GB2312" w:cs="楷体_GB2312"/>
          <w:b/>
          <w:bCs/>
          <w:sz w:val="32"/>
        </w:rPr>
        <w:t>（二）提升举措</w:t>
      </w:r>
    </w:p>
    <w:p>
      <w:pPr>
        <w:keepNext w:val="0"/>
        <w:keepLines w:val="0"/>
        <w:pageBreakBefore w:val="0"/>
        <w:widowControl/>
        <w:kinsoku/>
        <w:wordWrap/>
        <w:overflowPunct/>
        <w:topLinePunct w:val="0"/>
        <w:autoSpaceDE/>
        <w:autoSpaceDN/>
        <w:bidi w:val="0"/>
        <w:adjustRightInd/>
        <w:snapToGrid/>
        <w:spacing w:line="500" w:lineRule="exact"/>
        <w:ind w:firstLine="601"/>
        <w:textAlignment w:val="auto"/>
        <w:rPr>
          <w:rFonts w:hint="eastAsia" w:ascii="仿宋_GB2312" w:hAnsi="Times New Roman" w:cs="Times New Roman"/>
          <w:sz w:val="32"/>
          <w:lang w:val="zh-CN" w:eastAsia="zh-CN"/>
        </w:rPr>
      </w:pPr>
      <w:r>
        <w:rPr>
          <w:rFonts w:hint="eastAsia" w:ascii="仿宋_GB2312" w:hAnsi="Times New Roman" w:cs="Times New Roman"/>
          <w:sz w:val="32"/>
          <w:lang w:val="zh-CN" w:eastAsia="zh-CN"/>
        </w:rPr>
        <w:t>一是按照各级政府信息公开工作有关要求，做到应公</w:t>
      </w:r>
      <w:r>
        <w:rPr>
          <w:rFonts w:hint="eastAsia" w:ascii="仿宋_GB2312" w:cs="Times New Roman"/>
          <w:sz w:val="32"/>
          <w:lang w:val="zh-CN" w:eastAsia="zh-CN"/>
        </w:rPr>
        <w:t>开</w:t>
      </w:r>
      <w:r>
        <w:rPr>
          <w:rFonts w:hint="eastAsia" w:ascii="仿宋_GB2312" w:hAnsi="Times New Roman" w:cs="Times New Roman"/>
          <w:sz w:val="32"/>
          <w:lang w:val="zh-CN" w:eastAsia="zh-CN"/>
        </w:rPr>
        <w:t>的信息依法依规公</w:t>
      </w:r>
      <w:r>
        <w:rPr>
          <w:rFonts w:hint="eastAsia" w:ascii="仿宋_GB2312" w:cs="Times New Roman"/>
          <w:sz w:val="32"/>
          <w:lang w:val="zh-CN" w:eastAsia="zh-CN"/>
        </w:rPr>
        <w:t>开</w:t>
      </w:r>
      <w:r>
        <w:rPr>
          <w:rFonts w:hint="eastAsia" w:ascii="仿宋_GB2312" w:hAnsi="Times New Roman" w:cs="Times New Roman"/>
          <w:sz w:val="32"/>
          <w:lang w:val="zh-CN" w:eastAsia="zh-CN"/>
        </w:rPr>
        <w:t>，不留工作死角。</w:t>
      </w:r>
    </w:p>
    <w:p>
      <w:pPr>
        <w:keepNext w:val="0"/>
        <w:keepLines w:val="0"/>
        <w:pageBreakBefore w:val="0"/>
        <w:widowControl/>
        <w:kinsoku/>
        <w:wordWrap/>
        <w:overflowPunct/>
        <w:topLinePunct w:val="0"/>
        <w:autoSpaceDE/>
        <w:autoSpaceDN/>
        <w:bidi w:val="0"/>
        <w:adjustRightInd/>
        <w:snapToGrid/>
        <w:spacing w:line="500" w:lineRule="exact"/>
        <w:ind w:firstLine="601"/>
        <w:textAlignment w:val="auto"/>
        <w:rPr>
          <w:rFonts w:hint="eastAsia" w:ascii="仿宋_GB2312" w:hAnsi="Times New Roman" w:cs="Times New Roman"/>
          <w:sz w:val="32"/>
          <w:lang w:val="zh-CN" w:eastAsia="zh-CN"/>
        </w:rPr>
      </w:pPr>
      <w:r>
        <w:rPr>
          <w:rFonts w:hint="eastAsia" w:ascii="仿宋_GB2312" w:hAnsi="Times New Roman" w:cs="Times New Roman"/>
          <w:sz w:val="32"/>
          <w:lang w:val="zh-CN" w:eastAsia="zh-CN"/>
        </w:rPr>
        <w:t>二是增强工作主动性和积极性，</w:t>
      </w:r>
      <w:r>
        <w:rPr>
          <w:rFonts w:hint="eastAsia" w:ascii="仿宋_GB2312" w:cs="Times New Roman"/>
          <w:sz w:val="32"/>
          <w:lang w:val="zh-CN" w:eastAsia="zh-CN"/>
        </w:rPr>
        <w:t>加强与各级新媒体平台合作，</w:t>
      </w:r>
      <w:r>
        <w:rPr>
          <w:rFonts w:hint="eastAsia" w:ascii="仿宋_GB2312" w:hAnsi="Times New Roman" w:cs="Times New Roman"/>
          <w:sz w:val="32"/>
          <w:lang w:val="zh-CN" w:eastAsia="zh-CN"/>
        </w:rPr>
        <w:t>及时有效公开各类政府信息。</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黑体" w:hAnsi="黑体" w:eastAsia="黑体" w:cs="Times New Roman"/>
          <w:szCs w:val="32"/>
        </w:rPr>
      </w:pPr>
      <w:r>
        <w:rPr>
          <w:rFonts w:hint="eastAsia" w:ascii="黑体" w:hAnsi="黑体" w:eastAsia="黑体" w:cs="Times New Roman"/>
          <w:szCs w:val="32"/>
        </w:rPr>
        <w:t>六、其他需要报告的事项</w:t>
      </w:r>
    </w:p>
    <w:p>
      <w:pPr>
        <w:keepNext w:val="0"/>
        <w:keepLines w:val="0"/>
        <w:pageBreakBefore w:val="0"/>
        <w:widowControl/>
        <w:kinsoku/>
        <w:wordWrap/>
        <w:overflowPunct/>
        <w:topLinePunct w:val="0"/>
        <w:autoSpaceDE/>
        <w:autoSpaceDN/>
        <w:bidi w:val="0"/>
        <w:adjustRightInd/>
        <w:snapToGrid/>
        <w:spacing w:line="500" w:lineRule="exact"/>
        <w:ind w:firstLine="601"/>
        <w:textAlignment w:val="auto"/>
        <w:rPr>
          <w:rFonts w:hint="eastAsia" w:ascii="仿宋_GB2312" w:hAnsi="Times New Roman" w:eastAsia="仿宋_GB2312" w:cs="Times New Roman"/>
          <w:sz w:val="32"/>
        </w:rPr>
      </w:pPr>
      <w:r>
        <w:rPr>
          <w:rFonts w:hint="eastAsia" w:ascii="仿宋_GB2312" w:hAnsi="Times New Roman" w:eastAsia="仿宋_GB2312" w:cs="Times New Roman"/>
          <w:sz w:val="32"/>
        </w:rPr>
        <w:t>202</w:t>
      </w:r>
      <w:r>
        <w:rPr>
          <w:rFonts w:hint="eastAsia" w:ascii="仿宋_GB2312" w:cs="Times New Roman"/>
          <w:sz w:val="32"/>
          <w:lang w:val="en-US" w:eastAsia="zh-CN"/>
        </w:rPr>
        <w:t>3</w:t>
      </w:r>
      <w:r>
        <w:rPr>
          <w:rFonts w:hint="eastAsia" w:ascii="仿宋_GB2312" w:hAnsi="Times New Roman" w:eastAsia="仿宋_GB2312" w:cs="Times New Roman"/>
          <w:sz w:val="32"/>
        </w:rPr>
        <w:t xml:space="preserve"> 年度，本</w:t>
      </w:r>
      <w:r>
        <w:rPr>
          <w:rFonts w:hint="eastAsia" w:ascii="仿宋_GB2312" w:hAnsi="Times New Roman" w:eastAsia="仿宋_GB2312" w:cs="Times New Roman"/>
          <w:sz w:val="32"/>
          <w:lang w:eastAsia="zh-CN"/>
        </w:rPr>
        <w:t>单位</w:t>
      </w:r>
      <w:r>
        <w:rPr>
          <w:rFonts w:hint="eastAsia" w:ascii="仿宋_GB2312" w:hAnsi="Times New Roman" w:eastAsia="仿宋_GB2312" w:cs="Times New Roman"/>
          <w:sz w:val="32"/>
        </w:rPr>
        <w:t>未收到政府信息公开申请，故未产生任何有关政府信息公开信息处理事项及费用。后续将严格执行国务院办公厅印发的《政府信息公开信息处理费管理办法》和省、市政府办公厅相关规定，维护政府信息公开工作秩序，更好地保障公众知情权。</w:t>
      </w:r>
    </w:p>
    <w:p>
      <w:pPr>
        <w:pStyle w:val="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ascii="仿宋_GB2312" w:hAnsi="Times New Roman" w:cs="Times New Roman"/>
          <w:sz w:val="32"/>
          <w:lang w:val="en-US" w:eastAsia="zh-CN"/>
        </w:rPr>
        <w:t xml:space="preserve">                             </w:t>
      </w:r>
      <w:r>
        <w:rPr>
          <w:rFonts w:hint="eastAsia" w:ascii="仿宋_GB2312" w:hAnsi="Times New Roman" w:eastAsia="仿宋_GB2312" w:cs="Times New Roman"/>
          <w:i w:val="0"/>
          <w:kern w:val="2"/>
          <w:sz w:val="32"/>
          <w:szCs w:val="32"/>
          <w:lang w:val="en-US" w:eastAsia="zh-CN" w:bidi="ar-SA"/>
        </w:rPr>
        <w:t xml:space="preserve"> </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063BB1"/>
    <w:rsid w:val="0DBC6B2B"/>
    <w:rsid w:val="12574AB2"/>
    <w:rsid w:val="258251D8"/>
    <w:rsid w:val="26C10AFA"/>
    <w:rsid w:val="2E06017E"/>
    <w:rsid w:val="35B15BEA"/>
    <w:rsid w:val="37726EA0"/>
    <w:rsid w:val="38AD3F57"/>
    <w:rsid w:val="3A877B5E"/>
    <w:rsid w:val="48DB0307"/>
    <w:rsid w:val="49911E6F"/>
    <w:rsid w:val="4D073662"/>
    <w:rsid w:val="4FAA60BD"/>
    <w:rsid w:val="61AB5986"/>
    <w:rsid w:val="637D51CB"/>
    <w:rsid w:val="6A2B68C4"/>
    <w:rsid w:val="6BE90910"/>
    <w:rsid w:val="72203D23"/>
    <w:rsid w:val="786C1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jc w:val="both"/>
    </w:pPr>
    <w:rPr>
      <w:rFonts w:ascii="Times New Roman" w:hAnsi="Times New Roman" w:eastAsia="仿宋_GB2312" w:cs="Times New Roman"/>
      <w:kern w:val="2"/>
      <w:sz w:val="32"/>
      <w:szCs w:val="32"/>
      <w:lang w:val="en-US" w:eastAsia="zh-CN" w:bidi="ar-SA"/>
    </w:rPr>
  </w:style>
  <w:style w:type="character" w:default="1" w:styleId="9">
    <w:name w:val="Default Paragraph Font"/>
    <w:link w:val="10"/>
    <w:semiHidden/>
    <w:qFormat/>
    <w:uiPriority w:val="0"/>
    <w:rPr>
      <w:rFonts w:ascii="Tahoma" w:hAnsi="Tahoma" w:eastAsia="仿宋_GB2312"/>
      <w:sz w:val="32"/>
      <w:szCs w:val="32"/>
    </w:rPr>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spacing w:after="0" w:line="300" w:lineRule="auto"/>
      <w:ind w:left="0" w:leftChars="0"/>
    </w:pPr>
    <w:rPr>
      <w:rFonts w:hint="default" w:ascii="Calibri" w:hAnsi="Calibri"/>
      <w:i/>
      <w:sz w:val="21"/>
    </w:rPr>
  </w:style>
  <w:style w:type="paragraph" w:styleId="3">
    <w:name w:val="Body Text Indent"/>
    <w:basedOn w:val="1"/>
    <w:next w:val="4"/>
    <w:unhideWhenUsed/>
    <w:qFormat/>
    <w:uiPriority w:val="99"/>
    <w:pPr>
      <w:spacing w:after="120"/>
      <w:ind w:left="420" w:leftChars="200"/>
    </w:pPr>
    <w:rPr>
      <w:rFonts w:hint="default"/>
      <w:sz w:val="21"/>
    </w:rPr>
  </w:style>
  <w:style w:type="paragraph" w:styleId="4">
    <w:name w:val="Normal Indent"/>
    <w:basedOn w:val="1"/>
    <w:qFormat/>
    <w:uiPriority w:val="0"/>
    <w:pPr>
      <w:ind w:firstLine="420" w:firstLineChars="200"/>
    </w:pPr>
    <w:rPr>
      <w:rFonts w:eastAsia="仿宋"/>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semiHidden/>
    <w:qFormat/>
    <w:uiPriority w:val="0"/>
    <w:pPr>
      <w:jc w:val="left"/>
    </w:pPr>
    <w:rPr>
      <w:rFonts w:eastAsia="仿宋_GB2312"/>
      <w:kern w:val="0"/>
      <w:sz w:val="32"/>
      <w:szCs w:val="32"/>
    </w:rPr>
  </w:style>
  <w:style w:type="paragraph" w:customStyle="1" w:styleId="10">
    <w:name w:val="Char Char Char Char Char Char Char"/>
    <w:basedOn w:val="1"/>
    <w:link w:val="9"/>
    <w:qFormat/>
    <w:uiPriority w:val="0"/>
    <w:pPr>
      <w:widowControl w:val="0"/>
    </w:pPr>
    <w:rPr>
      <w:rFonts w:ascii="Tahoma" w:hAnsi="Tahoma" w:eastAsia="仿宋_GB2312"/>
      <w:sz w:val="32"/>
      <w:szCs w:val="32"/>
    </w:rPr>
  </w:style>
  <w:style w:type="character" w:styleId="11">
    <w:name w:val="page number"/>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2022-12-28T06:53:00Z</dcterms:created>
  <dc:creator>Administrator</dc:creator>
  <cp:lastModifiedBy>枯鱼过溪</cp:lastModifiedBy>
  <cp:lastPrinted>2024-01-02T07:12:00Z</cp:lastPrinted>
  <dcterms:modified xsi:type="dcterms:W3CDTF">2024-01-02T08:48:22Z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