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kern w:val="0"/>
          <w:sz w:val="44"/>
          <w:szCs w:val="44"/>
          <w:lang w:eastAsia="zh-CN"/>
        </w:rPr>
      </w:pPr>
      <w:r>
        <w:rPr>
          <w:rFonts w:hint="eastAsia" w:ascii="方正小标宋简体" w:eastAsia="方正小标宋简体"/>
          <w:kern w:val="0"/>
          <w:sz w:val="44"/>
          <w:szCs w:val="44"/>
        </w:rPr>
        <w:t>宁波市镇海区</w:t>
      </w:r>
      <w:r>
        <w:rPr>
          <w:rFonts w:hint="eastAsia" w:ascii="方正小标宋简体" w:eastAsia="方正小标宋简体"/>
          <w:kern w:val="0"/>
          <w:sz w:val="44"/>
          <w:szCs w:val="44"/>
          <w:lang w:eastAsia="zh-CN"/>
        </w:rPr>
        <w:t>人民政府庄市街道办事处</w:t>
      </w:r>
    </w:p>
    <w:p>
      <w:pPr>
        <w:spacing w:line="560" w:lineRule="exact"/>
        <w:jc w:val="center"/>
        <w:outlineLvl w:val="0"/>
        <w:rPr>
          <w:rFonts w:hint="eastAsia" w:ascii="方正小标宋简体" w:eastAsia="方正小标宋简体"/>
          <w:kern w:val="0"/>
          <w:sz w:val="44"/>
          <w:szCs w:val="44"/>
        </w:rPr>
      </w:pPr>
      <w:r>
        <w:rPr>
          <w:rFonts w:hint="eastAsia" w:ascii="方正小标宋简体" w:eastAsia="方正小标宋简体"/>
          <w:kern w:val="0"/>
          <w:sz w:val="44"/>
          <w:szCs w:val="44"/>
        </w:rPr>
        <w:t>2021年度政府信息公开工作年度报告</w:t>
      </w:r>
    </w:p>
    <w:p>
      <w:pPr>
        <w:spacing w:line="240" w:lineRule="exact"/>
        <w:rPr>
          <w:rFonts w:hint="eastAsia"/>
          <w:sz w:val="21"/>
          <w:szCs w:val="21"/>
        </w:rPr>
      </w:pPr>
    </w:p>
    <w:p>
      <w:pPr>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outlineLvl w:val="0"/>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一、总体情况</w:t>
      </w:r>
    </w:p>
    <w:p>
      <w:pPr>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outlineLvl w:val="0"/>
        <w:rPr>
          <w:rFonts w:hint="eastAsia" w:ascii="仿宋_GB2312" w:hAnsi="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2021年，庄市街道认真贯彻</w:t>
      </w:r>
      <w:r>
        <w:rPr>
          <w:rFonts w:hint="eastAsia" w:ascii="仿宋_GB2312" w:hAnsi="仿宋_GB2312" w:cs="仿宋_GB2312"/>
          <w:kern w:val="0"/>
          <w:sz w:val="32"/>
          <w:szCs w:val="32"/>
          <w:lang w:val="en-US" w:eastAsia="zh-CN"/>
        </w:rPr>
        <w:t>执行</w:t>
      </w:r>
      <w:r>
        <w:rPr>
          <w:rFonts w:hint="eastAsia" w:ascii="仿宋_GB2312" w:hAnsi="仿宋_GB2312" w:eastAsia="仿宋_GB2312" w:cs="仿宋_GB2312"/>
          <w:kern w:val="0"/>
          <w:sz w:val="32"/>
          <w:szCs w:val="32"/>
          <w:lang w:val="en-US" w:eastAsia="zh-CN"/>
        </w:rPr>
        <w:t>《中华人民共和国政府信息公开条例》</w:t>
      </w:r>
      <w:r>
        <w:rPr>
          <w:rFonts w:hint="eastAsia" w:ascii="仿宋_GB2312" w:hAnsi="仿宋_GB2312" w:cs="仿宋_GB2312"/>
          <w:kern w:val="0"/>
          <w:sz w:val="32"/>
          <w:szCs w:val="32"/>
          <w:lang w:val="en-US" w:eastAsia="zh-CN"/>
        </w:rPr>
        <w:t>，</w:t>
      </w:r>
      <w:r>
        <w:rPr>
          <w:rFonts w:hint="eastAsia" w:ascii="仿宋_GB2312" w:hAnsi="仿宋_GB2312" w:eastAsia="仿宋_GB2312" w:cs="仿宋_GB2312"/>
          <w:kern w:val="0"/>
          <w:sz w:val="32"/>
          <w:szCs w:val="32"/>
          <w:lang w:val="en-US" w:eastAsia="zh-CN"/>
        </w:rPr>
        <w:t>按照《镇海区政务公开五年行动实施方案（2021—2025年</w:t>
      </w:r>
      <w:r>
        <w:rPr>
          <w:rFonts w:hint="eastAsia" w:ascii="仿宋_GB2312" w:hAnsi="仿宋_GB2312" w:cs="仿宋_GB2312"/>
          <w:kern w:val="0"/>
          <w:sz w:val="32"/>
          <w:szCs w:val="32"/>
          <w:lang w:val="en-US" w:eastAsia="zh-CN"/>
        </w:rPr>
        <w:t>）》</w:t>
      </w:r>
      <w:r>
        <w:rPr>
          <w:rFonts w:hint="eastAsia" w:ascii="仿宋_GB2312" w:hAnsi="仿宋_GB2312" w:eastAsia="仿宋_GB2312" w:cs="仿宋_GB2312"/>
          <w:kern w:val="0"/>
          <w:sz w:val="32"/>
          <w:szCs w:val="32"/>
          <w:lang w:val="en-US" w:eastAsia="zh-CN"/>
        </w:rPr>
        <w:t>《2021年镇海区政务公开工作要</w:t>
      </w:r>
      <w:r>
        <w:rPr>
          <w:rFonts w:hint="eastAsia" w:ascii="仿宋_GB2312" w:hAnsi="仿宋_GB2312" w:cs="仿宋_GB2312"/>
          <w:kern w:val="0"/>
          <w:sz w:val="32"/>
          <w:szCs w:val="32"/>
          <w:lang w:val="en-US" w:eastAsia="zh-CN"/>
        </w:rPr>
        <w:t>点》相关要求，</w:t>
      </w:r>
      <w:r>
        <w:rPr>
          <w:rFonts w:hint="eastAsia" w:ascii="仿宋_GB2312" w:hAnsi="仿宋_GB2312" w:eastAsia="仿宋_GB2312" w:cs="仿宋_GB2312"/>
          <w:kern w:val="0"/>
          <w:sz w:val="32"/>
          <w:szCs w:val="32"/>
          <w:lang w:val="en-US" w:eastAsia="zh-CN"/>
        </w:rPr>
        <w:t>扎实推进</w:t>
      </w:r>
      <w:r>
        <w:rPr>
          <w:rFonts w:hint="eastAsia" w:ascii="仿宋_GB2312" w:hAnsi="仿宋_GB2312" w:cs="仿宋_GB2312"/>
          <w:kern w:val="0"/>
          <w:sz w:val="32"/>
          <w:szCs w:val="32"/>
          <w:lang w:val="en-US" w:eastAsia="zh-CN"/>
        </w:rPr>
        <w:t>街道</w:t>
      </w:r>
      <w:r>
        <w:rPr>
          <w:rFonts w:hint="eastAsia" w:ascii="仿宋_GB2312" w:hAnsi="仿宋_GB2312" w:eastAsia="仿宋_GB2312" w:cs="仿宋_GB2312"/>
          <w:kern w:val="0"/>
          <w:sz w:val="32"/>
          <w:szCs w:val="32"/>
          <w:lang w:val="en-US" w:eastAsia="zh-CN"/>
        </w:rPr>
        <w:t>政府信息公开</w:t>
      </w:r>
      <w:r>
        <w:rPr>
          <w:rFonts w:hint="eastAsia" w:ascii="仿宋_GB2312" w:hAnsi="仿宋_GB2312" w:cs="仿宋_GB2312"/>
          <w:kern w:val="0"/>
          <w:sz w:val="32"/>
          <w:szCs w:val="32"/>
          <w:lang w:val="en-US" w:eastAsia="zh-CN"/>
        </w:rPr>
        <w:t>工作。</w:t>
      </w:r>
    </w:p>
    <w:p>
      <w:pPr>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outlineLvl w:val="0"/>
        <w:rPr>
          <w:rFonts w:hint="eastAsia" w:ascii="楷体_GB2312" w:hAnsi="楷体_GB2312" w:eastAsia="楷体_GB2312" w:cs="楷体_GB2312"/>
          <w:b/>
          <w:bCs/>
          <w:kern w:val="0"/>
          <w:sz w:val="32"/>
          <w:szCs w:val="32"/>
          <w:lang w:val="en-US" w:eastAsia="zh-CN"/>
        </w:rPr>
      </w:pPr>
      <w:r>
        <w:rPr>
          <w:rFonts w:hint="eastAsia" w:ascii="楷体_GB2312" w:hAnsi="楷体_GB2312" w:eastAsia="楷体_GB2312" w:cs="楷体_GB2312"/>
          <w:b/>
          <w:bCs/>
          <w:kern w:val="0"/>
          <w:sz w:val="32"/>
          <w:szCs w:val="32"/>
          <w:lang w:val="en-US" w:eastAsia="zh-CN"/>
        </w:rPr>
        <w:t>1、主动公开情况</w:t>
      </w:r>
    </w:p>
    <w:p>
      <w:pPr>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outlineLvl w:val="0"/>
        <w:rPr>
          <w:rFonts w:hint="eastAsia" w:ascii="仿宋_GB2312" w:hAnsi="仿宋_GB2312" w:eastAsia="仿宋_GB2312" w:cs="仿宋_GB2312"/>
          <w:kern w:val="0"/>
          <w:sz w:val="32"/>
          <w:szCs w:val="32"/>
          <w:lang w:val="en-US" w:eastAsia="zh-CN"/>
        </w:rPr>
      </w:pPr>
      <w:r>
        <w:rPr>
          <w:rFonts w:hint="eastAsia" w:ascii="仿宋_GB2312" w:hAnsi="仿宋_GB2312" w:cs="仿宋_GB2312"/>
          <w:kern w:val="0"/>
          <w:sz w:val="32"/>
          <w:szCs w:val="32"/>
          <w:lang w:val="en-US" w:eastAsia="zh-CN"/>
        </w:rPr>
        <w:t>2021年全年街道</w:t>
      </w:r>
      <w:r>
        <w:rPr>
          <w:rFonts w:hint="eastAsia" w:ascii="仿宋_GB2312" w:hAnsi="仿宋_GB2312" w:eastAsia="仿宋_GB2312" w:cs="仿宋_GB2312"/>
          <w:kern w:val="0"/>
          <w:sz w:val="32"/>
          <w:szCs w:val="32"/>
          <w:lang w:val="en-US" w:eastAsia="zh-CN"/>
        </w:rPr>
        <w:t>主动公开政府信息230条，其中政府网站公开178条，政务微信公开52条；发布各类政策解读稿件3篇。</w:t>
      </w:r>
    </w:p>
    <w:p>
      <w:pPr>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outlineLvl w:val="0"/>
        <w:rPr>
          <w:rFonts w:hint="eastAsia" w:ascii="楷体_GB2312" w:hAnsi="楷体_GB2312" w:eastAsia="楷体_GB2312" w:cs="楷体_GB2312"/>
          <w:b/>
          <w:bCs/>
          <w:kern w:val="0"/>
          <w:sz w:val="32"/>
          <w:szCs w:val="32"/>
          <w:lang w:val="en-US" w:eastAsia="zh-CN"/>
        </w:rPr>
      </w:pPr>
      <w:r>
        <w:rPr>
          <w:rFonts w:hint="eastAsia" w:ascii="楷体_GB2312" w:hAnsi="楷体_GB2312" w:eastAsia="楷体_GB2312" w:cs="楷体_GB2312"/>
          <w:b/>
          <w:bCs/>
          <w:kern w:val="0"/>
          <w:sz w:val="32"/>
          <w:szCs w:val="32"/>
          <w:lang w:val="en-US" w:eastAsia="zh-CN"/>
        </w:rPr>
        <w:t>2、依申请公开情况</w:t>
      </w:r>
    </w:p>
    <w:p>
      <w:pPr>
        <w:pStyle w:val="2"/>
        <w:keepNext w:val="0"/>
        <w:keepLines w:val="0"/>
        <w:pageBreakBefore w:val="0"/>
        <w:widowControl/>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i w:val="0"/>
          <w:kern w:val="0"/>
          <w:sz w:val="32"/>
          <w:szCs w:val="32"/>
          <w:lang w:val="en-US" w:eastAsia="zh-CN" w:bidi="ar-SA"/>
        </w:rPr>
        <w:t>2021年，街道共受理依申请公开26件，其中7件予以公开，5件部分公开，11件不属于本机关信息公开的范围，2件重复申请，不予处理，1件是涉及保护第三方合法权益，不予公开。2</w:t>
      </w:r>
      <w:r>
        <w:rPr>
          <w:rFonts w:hint="eastAsia" w:ascii="仿宋_GB2312" w:hAnsi="仿宋_GB2312" w:eastAsia="仿宋_GB2312" w:cs="仿宋_GB2312"/>
          <w:i w:val="0"/>
          <w:kern w:val="0"/>
          <w:sz w:val="32"/>
          <w:szCs w:val="32"/>
          <w:lang w:val="en-US" w:eastAsia="zh-CN" w:bidi="ar-SA"/>
        </w:rPr>
        <w:t>021年，庄市街道因政府信息公开引起的行政复议案件和行政诉讼案件</w:t>
      </w:r>
      <w:r>
        <w:rPr>
          <w:rFonts w:hint="eastAsia" w:ascii="仿宋_GB2312" w:hAnsi="仿宋_GB2312" w:cs="仿宋_GB2312"/>
          <w:i w:val="0"/>
          <w:kern w:val="0"/>
          <w:sz w:val="32"/>
          <w:szCs w:val="32"/>
          <w:lang w:val="en-US" w:eastAsia="zh-CN" w:bidi="ar-SA"/>
        </w:rPr>
        <w:t>各1件。目前行政复议予以维持，行政诉讼一审驳回原告诉讼请求。</w:t>
      </w:r>
    </w:p>
    <w:p>
      <w:pPr>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outlineLvl w:val="0"/>
        <w:rPr>
          <w:rFonts w:hint="eastAsia" w:ascii="楷体_GB2312" w:hAnsi="楷体_GB2312" w:eastAsia="楷体_GB2312" w:cs="楷体_GB2312"/>
          <w:b/>
          <w:bCs/>
          <w:kern w:val="0"/>
          <w:sz w:val="32"/>
          <w:szCs w:val="32"/>
          <w:lang w:val="en-US" w:eastAsia="zh-CN"/>
        </w:rPr>
      </w:pPr>
      <w:r>
        <w:rPr>
          <w:rFonts w:hint="eastAsia" w:ascii="楷体_GB2312" w:hAnsi="楷体_GB2312" w:eastAsia="楷体_GB2312" w:cs="楷体_GB2312"/>
          <w:b/>
          <w:bCs/>
          <w:kern w:val="0"/>
          <w:sz w:val="32"/>
          <w:szCs w:val="32"/>
          <w:lang w:val="en-US" w:eastAsia="zh-CN"/>
        </w:rPr>
        <w:t>3、政府信息管理情况</w:t>
      </w:r>
    </w:p>
    <w:p>
      <w:pPr>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outlineLvl w:val="0"/>
        <w:rPr>
          <w:rFonts w:hint="eastAsia" w:ascii="仿宋_GB2312" w:hAnsi="仿宋_GB2312" w:eastAsia="仿宋_GB2312" w:cs="仿宋_GB2312"/>
          <w:kern w:val="0"/>
          <w:sz w:val="32"/>
          <w:szCs w:val="32"/>
          <w:lang w:val="en-US" w:eastAsia="zh-CN"/>
        </w:rPr>
      </w:pPr>
      <w:r>
        <w:rPr>
          <w:rFonts w:hint="eastAsia" w:ascii="仿宋_GB2312" w:hAnsi="仿宋_GB2312" w:cs="仿宋_GB2312"/>
          <w:kern w:val="0"/>
          <w:sz w:val="32"/>
          <w:szCs w:val="32"/>
          <w:lang w:val="en-US" w:eastAsia="zh-CN"/>
        </w:rPr>
        <w:t>2021年，街道进一步扩大政府信息公开范围。</w:t>
      </w:r>
      <w:r>
        <w:rPr>
          <w:rFonts w:hint="eastAsia" w:ascii="仿宋_GB2312" w:hAnsi="仿宋_GB2312" w:eastAsia="仿宋_GB2312" w:cs="仿宋_GB2312"/>
          <w:kern w:val="0"/>
          <w:sz w:val="32"/>
          <w:szCs w:val="32"/>
          <w:lang w:val="en-US" w:eastAsia="zh-CN"/>
        </w:rPr>
        <w:t>新增“村务公开”栏目，公开范围覆盖街道5个行政村</w:t>
      </w:r>
      <w:r>
        <w:rPr>
          <w:rFonts w:hint="eastAsia" w:ascii="仿宋_GB2312" w:hAnsi="仿宋_GB2312" w:cs="仿宋_GB2312"/>
          <w:kern w:val="0"/>
          <w:sz w:val="32"/>
          <w:szCs w:val="32"/>
          <w:lang w:val="en-US" w:eastAsia="zh-CN"/>
        </w:rPr>
        <w:t>，</w:t>
      </w:r>
      <w:r>
        <w:rPr>
          <w:rFonts w:hint="eastAsia" w:ascii="仿宋_GB2312" w:hAnsi="仿宋_GB2312" w:eastAsia="仿宋_GB2312" w:cs="仿宋_GB2312"/>
          <w:kern w:val="0"/>
          <w:sz w:val="32"/>
          <w:szCs w:val="32"/>
          <w:lang w:val="en-US" w:eastAsia="zh-CN"/>
        </w:rPr>
        <w:t>共公开了5条；新设“</w:t>
      </w:r>
      <w:r>
        <w:rPr>
          <w:rFonts w:hint="eastAsia" w:ascii="仿宋_GB2312" w:hAnsi="仿宋_GB2312" w:eastAsia="仿宋_GB2312" w:cs="仿宋_GB2312"/>
          <w:kern w:val="0"/>
          <w:sz w:val="32"/>
          <w:szCs w:val="32"/>
          <w:lang w:val="en-US" w:eastAsia="zh-CN"/>
        </w:rPr>
        <w:fldChar w:fldCharType="begin"/>
      </w:r>
      <w:r>
        <w:rPr>
          <w:rFonts w:hint="eastAsia" w:ascii="仿宋_GB2312" w:hAnsi="仿宋_GB2312" w:eastAsia="仿宋_GB2312" w:cs="仿宋_GB2312"/>
          <w:kern w:val="0"/>
          <w:sz w:val="32"/>
          <w:szCs w:val="32"/>
          <w:lang w:val="en-US" w:eastAsia="zh-CN"/>
        </w:rPr>
        <w:instrText xml:space="preserve"> HYPERLINK "http://www.zh.gov.cn/module/xxgk/javascript: d.o(85);" \o "移交档案馆信息目录" </w:instrText>
      </w:r>
      <w:r>
        <w:rPr>
          <w:rFonts w:hint="eastAsia" w:ascii="仿宋_GB2312" w:hAnsi="仿宋_GB2312" w:eastAsia="仿宋_GB2312" w:cs="仿宋_GB2312"/>
          <w:kern w:val="0"/>
          <w:sz w:val="32"/>
          <w:szCs w:val="32"/>
          <w:lang w:val="en-US" w:eastAsia="zh-CN"/>
        </w:rPr>
        <w:fldChar w:fldCharType="separate"/>
      </w:r>
      <w:r>
        <w:rPr>
          <w:rFonts w:hint="eastAsia" w:ascii="仿宋_GB2312" w:hAnsi="仿宋_GB2312" w:eastAsia="仿宋_GB2312" w:cs="仿宋_GB2312"/>
          <w:kern w:val="0"/>
          <w:sz w:val="32"/>
          <w:szCs w:val="32"/>
          <w:lang w:val="en-US" w:eastAsia="zh-CN"/>
        </w:rPr>
        <w:t>移交档案馆信息</w:t>
      </w:r>
      <w:r>
        <w:rPr>
          <w:rFonts w:hint="eastAsia" w:ascii="仿宋_GB2312" w:hAnsi="仿宋_GB2312" w:eastAsia="仿宋_GB2312" w:cs="仿宋_GB2312"/>
          <w:kern w:val="0"/>
          <w:sz w:val="32"/>
          <w:szCs w:val="32"/>
          <w:lang w:val="en-US" w:eastAsia="zh-CN"/>
        </w:rPr>
        <w:fldChar w:fldCharType="end"/>
      </w:r>
      <w:r>
        <w:rPr>
          <w:rFonts w:hint="eastAsia" w:ascii="仿宋_GB2312" w:hAnsi="仿宋_GB2312" w:eastAsia="仿宋_GB2312" w:cs="仿宋_GB2312"/>
          <w:kern w:val="0"/>
          <w:sz w:val="32"/>
          <w:szCs w:val="32"/>
          <w:lang w:val="en-US" w:eastAsia="zh-CN"/>
        </w:rPr>
        <w:t>目录”栏目，专项公开近10年来街道移交档案馆的民生类信息目录清单。</w:t>
      </w:r>
    </w:p>
    <w:p>
      <w:pPr>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outlineLvl w:val="0"/>
        <w:rPr>
          <w:rFonts w:hint="eastAsia" w:ascii="楷体_GB2312" w:hAnsi="楷体_GB2312" w:eastAsia="楷体_GB2312" w:cs="楷体_GB2312"/>
          <w:b/>
          <w:bCs/>
          <w:kern w:val="0"/>
          <w:sz w:val="32"/>
          <w:szCs w:val="32"/>
          <w:lang w:val="en-US" w:eastAsia="zh-CN"/>
        </w:rPr>
      </w:pPr>
      <w:r>
        <w:rPr>
          <w:rFonts w:hint="eastAsia" w:ascii="楷体_GB2312" w:hAnsi="楷体_GB2312" w:eastAsia="楷体_GB2312" w:cs="楷体_GB2312"/>
          <w:b/>
          <w:bCs/>
          <w:kern w:val="0"/>
          <w:sz w:val="32"/>
          <w:szCs w:val="32"/>
          <w:lang w:val="en-US" w:eastAsia="zh-CN"/>
        </w:rPr>
        <w:t>4、政府信息公开平台建设情况</w:t>
      </w:r>
    </w:p>
    <w:p>
      <w:pPr>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outlineLvl w:val="0"/>
        <w:rPr>
          <w:rFonts w:hint="eastAsia" w:ascii="仿宋_GB2312" w:hAnsi="仿宋_GB2312" w:eastAsia="仿宋_GB2312" w:cs="仿宋_GB2312"/>
          <w:kern w:val="0"/>
          <w:sz w:val="32"/>
          <w:szCs w:val="32"/>
          <w:lang w:val="en-US" w:eastAsia="zh-CN"/>
        </w:rPr>
      </w:pPr>
      <w:r>
        <w:rPr>
          <w:rFonts w:hint="eastAsia" w:ascii="仿宋_GB2312" w:hAnsi="仿宋_GB2312" w:cs="仿宋_GB2312"/>
          <w:kern w:val="0"/>
          <w:sz w:val="32"/>
          <w:szCs w:val="32"/>
          <w:lang w:val="en-US" w:eastAsia="zh-CN"/>
        </w:rPr>
        <w:t>2021年，街道持续推进</w:t>
      </w:r>
      <w:r>
        <w:rPr>
          <w:rFonts w:hint="eastAsia" w:ascii="仿宋_GB2312" w:hAnsi="仿宋_GB2312" w:eastAsia="仿宋_GB2312" w:cs="仿宋_GB2312"/>
          <w:kern w:val="0"/>
          <w:sz w:val="32"/>
          <w:szCs w:val="32"/>
          <w:lang w:val="en-US" w:eastAsia="zh-CN"/>
        </w:rPr>
        <w:t>各类政府信息公开平台建设</w:t>
      </w:r>
      <w:r>
        <w:rPr>
          <w:rFonts w:hint="eastAsia" w:ascii="仿宋_GB2312" w:hAnsi="仿宋_GB2312" w:cs="仿宋_GB2312"/>
          <w:kern w:val="0"/>
          <w:sz w:val="32"/>
          <w:szCs w:val="32"/>
          <w:lang w:val="en-US" w:eastAsia="zh-CN"/>
        </w:rPr>
        <w:t>，拓展政府信息公开渠道。</w:t>
      </w:r>
      <w:r>
        <w:rPr>
          <w:rFonts w:hint="eastAsia" w:ascii="仿宋_GB2312" w:hAnsi="仿宋_GB2312" w:eastAsia="仿宋_GB2312" w:cs="仿宋_GB2312"/>
          <w:kern w:val="0"/>
          <w:sz w:val="32"/>
          <w:szCs w:val="32"/>
          <w:lang w:val="en-US" w:eastAsia="zh-CN"/>
        </w:rPr>
        <w:t>积极利用新媒体，通过“人文庄市”官方微信及时公布政府信息</w:t>
      </w:r>
      <w:r>
        <w:rPr>
          <w:rFonts w:hint="eastAsia" w:ascii="仿宋_GB2312" w:hAnsi="仿宋_GB2312" w:cs="仿宋_GB2312"/>
          <w:kern w:val="0"/>
          <w:sz w:val="32"/>
          <w:szCs w:val="32"/>
          <w:lang w:val="en-US" w:eastAsia="zh-CN"/>
        </w:rPr>
        <w:t>；</w:t>
      </w:r>
      <w:r>
        <w:rPr>
          <w:rFonts w:hint="eastAsia" w:ascii="仿宋_GB2312" w:hAnsi="仿宋_GB2312" w:eastAsia="仿宋_GB2312" w:cs="仿宋_GB2312"/>
          <w:kern w:val="0"/>
          <w:sz w:val="32"/>
          <w:szCs w:val="32"/>
          <w:lang w:val="en-US" w:eastAsia="zh-CN"/>
        </w:rPr>
        <w:t>在行政服务大厅设置线下政务公开查阅点，方便前来办事的企业、群众随时随地获取本街道相关政府信息。</w:t>
      </w:r>
    </w:p>
    <w:p>
      <w:pPr>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outlineLvl w:val="0"/>
        <w:rPr>
          <w:rFonts w:hint="eastAsia" w:ascii="楷体_GB2312" w:hAnsi="楷体_GB2312" w:eastAsia="楷体_GB2312" w:cs="楷体_GB2312"/>
          <w:b/>
          <w:bCs/>
          <w:kern w:val="0"/>
          <w:sz w:val="32"/>
          <w:szCs w:val="32"/>
          <w:lang w:val="en-US" w:eastAsia="zh-CN"/>
        </w:rPr>
      </w:pPr>
      <w:r>
        <w:rPr>
          <w:rFonts w:hint="eastAsia" w:ascii="楷体_GB2312" w:hAnsi="楷体_GB2312" w:eastAsia="楷体_GB2312" w:cs="楷体_GB2312"/>
          <w:b/>
          <w:bCs/>
          <w:kern w:val="0"/>
          <w:sz w:val="32"/>
          <w:szCs w:val="32"/>
          <w:lang w:val="en-US" w:eastAsia="zh-CN"/>
        </w:rPr>
        <w:t>5、监督保障情况</w:t>
      </w:r>
    </w:p>
    <w:p>
      <w:pPr>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outlineLvl w:val="0"/>
        <w:rPr>
          <w:rFonts w:hint="eastAsia" w:ascii="仿宋_GB2312" w:hAnsi="仿宋_GB2312" w:cs="仿宋_GB2312"/>
          <w:kern w:val="0"/>
          <w:sz w:val="32"/>
          <w:szCs w:val="32"/>
          <w:lang w:val="en-US" w:eastAsia="zh-CN"/>
        </w:rPr>
      </w:pPr>
      <w:r>
        <w:rPr>
          <w:rFonts w:hint="eastAsia" w:ascii="仿宋_GB2312" w:hAnsi="仿宋_GB2312" w:cs="仿宋_GB2312"/>
          <w:kern w:val="0"/>
          <w:sz w:val="32"/>
          <w:szCs w:val="32"/>
          <w:lang w:val="en-US" w:eastAsia="zh-CN"/>
        </w:rPr>
        <w:t>2021年，街道</w:t>
      </w:r>
      <w:r>
        <w:rPr>
          <w:rFonts w:hint="eastAsia" w:ascii="仿宋_GB2312" w:hAnsi="仿宋_GB2312" w:eastAsia="仿宋_GB2312" w:cs="仿宋_GB2312"/>
          <w:kern w:val="0"/>
          <w:sz w:val="32"/>
          <w:szCs w:val="32"/>
          <w:lang w:val="en-US" w:eastAsia="zh-CN"/>
        </w:rPr>
        <w:t>及时更新各个栏目，使公开内容更为全面，更好地接受社会监督。严格落实政务信息公开发布、审批制度，确保政府信息公开各项工作有序开展。同时，主动接受上级部门监督、检查和指导，通过各方面的信息反馈，</w:t>
      </w:r>
      <w:r>
        <w:rPr>
          <w:rFonts w:hint="eastAsia" w:ascii="仿宋_GB2312" w:hAnsi="仿宋_GB2312" w:cs="仿宋_GB2312"/>
          <w:kern w:val="0"/>
          <w:sz w:val="32"/>
          <w:szCs w:val="32"/>
          <w:lang w:val="en-US" w:eastAsia="zh-CN"/>
        </w:rPr>
        <w:t>主动</w:t>
      </w:r>
      <w:r>
        <w:rPr>
          <w:rFonts w:hint="eastAsia" w:ascii="仿宋_GB2312" w:hAnsi="仿宋_GB2312" w:eastAsia="仿宋_GB2312" w:cs="仿宋_GB2312"/>
          <w:kern w:val="0"/>
          <w:sz w:val="32"/>
          <w:szCs w:val="32"/>
          <w:lang w:val="en-US" w:eastAsia="zh-CN"/>
        </w:rPr>
        <w:t>查找薄弱环节，</w:t>
      </w:r>
      <w:r>
        <w:rPr>
          <w:rFonts w:hint="eastAsia" w:ascii="仿宋_GB2312" w:hAnsi="仿宋_GB2312" w:cs="仿宋_GB2312"/>
          <w:kern w:val="0"/>
          <w:sz w:val="32"/>
          <w:szCs w:val="32"/>
          <w:lang w:val="en-US" w:eastAsia="zh-CN"/>
        </w:rPr>
        <w:t>及时予以整改。</w:t>
      </w:r>
    </w:p>
    <w:p>
      <w:pPr>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outlineLvl w:val="0"/>
        <w:rPr>
          <w:rFonts w:hint="eastAsia" w:ascii="黑体" w:hAnsi="黑体" w:eastAsia="黑体" w:cs="黑体"/>
          <w:kern w:val="0"/>
          <w:sz w:val="32"/>
          <w:szCs w:val="32"/>
        </w:rPr>
      </w:pPr>
      <w:bookmarkStart w:id="0" w:name="_GoBack"/>
      <w:bookmarkEnd w:id="0"/>
      <w:r>
        <w:rPr>
          <w:rFonts w:hint="eastAsia" w:ascii="黑体" w:hAnsi="黑体" w:eastAsia="黑体" w:cs="黑体"/>
          <w:kern w:val="0"/>
          <w:sz w:val="32"/>
          <w:szCs w:val="32"/>
        </w:rPr>
        <w:t>二、主动公开政府信息情况</w:t>
      </w:r>
    </w:p>
    <w:tbl>
      <w:tblPr>
        <w:tblStyle w:val="6"/>
        <w:tblpPr w:leftFromText="180" w:rightFromText="180" w:vertAnchor="text" w:horzAnchor="page" w:tblpXSpec="center" w:tblpY="85"/>
        <w:tblOverlap w:val="never"/>
        <w:tblW w:w="0" w:type="auto"/>
        <w:tblInd w:w="0" w:type="dxa"/>
        <w:tblLayout w:type="fixed"/>
        <w:tblCellMar>
          <w:top w:w="0" w:type="dxa"/>
          <w:left w:w="0" w:type="dxa"/>
          <w:bottom w:w="0" w:type="dxa"/>
          <w:right w:w="0" w:type="dxa"/>
        </w:tblCellMar>
      </w:tblPr>
      <w:tblGrid>
        <w:gridCol w:w="1953"/>
        <w:gridCol w:w="2435"/>
        <w:gridCol w:w="2435"/>
        <w:gridCol w:w="2398"/>
      </w:tblGrid>
      <w:tr>
        <w:tblPrEx>
          <w:tblCellMar>
            <w:top w:w="0" w:type="dxa"/>
            <w:left w:w="0" w:type="dxa"/>
            <w:bottom w:w="0" w:type="dxa"/>
            <w:right w:w="0" w:type="dxa"/>
          </w:tblCellMar>
        </w:tblPrEx>
        <w:trPr>
          <w:trHeight w:val="397" w:hRule="exact"/>
        </w:trPr>
        <w:tc>
          <w:tcPr>
            <w:tcW w:w="9221"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spacing w:line="240" w:lineRule="exact"/>
              <w:jc w:val="center"/>
              <w:rPr>
                <w:kern w:val="0"/>
                <w:sz w:val="21"/>
                <w:szCs w:val="21"/>
              </w:rPr>
            </w:pPr>
            <w:r>
              <w:rPr>
                <w:rFonts w:hint="eastAsia"/>
                <w:kern w:val="0"/>
                <w:sz w:val="21"/>
                <w:szCs w:val="21"/>
              </w:rPr>
              <w:t>第二十条第（一）项</w:t>
            </w:r>
          </w:p>
        </w:tc>
      </w:tr>
      <w:tr>
        <w:tblPrEx>
          <w:tblCellMar>
            <w:top w:w="0" w:type="dxa"/>
            <w:left w:w="0" w:type="dxa"/>
            <w:bottom w:w="0" w:type="dxa"/>
            <w:right w:w="0" w:type="dxa"/>
          </w:tblCellMar>
        </w:tblPrEx>
        <w:trPr>
          <w:trHeight w:val="397" w:hRule="exac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rPr>
              <w:t>本年制发件数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rPr>
              <w:t>本年废止件数</w:t>
            </w:r>
          </w:p>
        </w:tc>
        <w:tc>
          <w:tcPr>
            <w:tcW w:w="2398" w:type="dxa"/>
            <w:tcBorders>
              <w:top w:val="single" w:color="auto" w:sz="8" w:space="0"/>
              <w:left w:val="nil"/>
              <w:bottom w:val="single" w:color="auto" w:sz="8" w:space="0"/>
              <w:right w:val="single" w:color="auto"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rPr>
              <w:t>现行有效件数</w:t>
            </w:r>
          </w:p>
        </w:tc>
      </w:tr>
      <w:tr>
        <w:tblPrEx>
          <w:tblCellMar>
            <w:top w:w="0" w:type="dxa"/>
            <w:left w:w="0" w:type="dxa"/>
            <w:bottom w:w="0" w:type="dxa"/>
            <w:right w:w="0" w:type="dxa"/>
          </w:tblCellMar>
        </w:tblPrEx>
        <w:trPr>
          <w:trHeight w:val="397" w:hRule="exac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r>
              <w:rPr>
                <w:rFonts w:hint="eastAsia"/>
                <w:kern w:val="0"/>
                <w:sz w:val="21"/>
                <w:szCs w:val="21"/>
              </w:rPr>
              <w:t>　　</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spacing w:line="240" w:lineRule="exact"/>
              <w:jc w:val="center"/>
              <w:rPr>
                <w:rFonts w:hint="eastAsia" w:eastAsia="仿宋_GB2312"/>
                <w:kern w:val="0"/>
                <w:sz w:val="21"/>
                <w:szCs w:val="21"/>
                <w:lang w:val="en-US" w:eastAsia="zh-CN"/>
              </w:rPr>
            </w:pPr>
            <w:r>
              <w:rPr>
                <w:rFonts w:hint="eastAsia"/>
                <w:kern w:val="0"/>
                <w:sz w:val="21"/>
                <w:szCs w:val="21"/>
              </w:rPr>
              <w:t> </w:t>
            </w:r>
            <w:r>
              <w:rPr>
                <w:rFonts w:hint="eastAsia"/>
                <w:kern w:val="0"/>
                <w:sz w:val="21"/>
                <w:szCs w:val="21"/>
                <w:lang w:val="en-US" w:eastAsia="zh-CN"/>
              </w:rPr>
              <w:t>0</w:t>
            </w:r>
          </w:p>
        </w:tc>
        <w:tc>
          <w:tcPr>
            <w:tcW w:w="2398" w:type="dxa"/>
            <w:tcBorders>
              <w:top w:val="nil"/>
              <w:left w:val="nil"/>
              <w:bottom w:val="single" w:color="auto" w:sz="8" w:space="0"/>
              <w:right w:val="single" w:color="auto" w:sz="8" w:space="0"/>
            </w:tcBorders>
            <w:noWrap w:val="0"/>
            <w:tcMar>
              <w:left w:w="57" w:type="dxa"/>
              <w:right w:w="57" w:type="dxa"/>
            </w:tcMar>
            <w:vAlign w:val="center"/>
          </w:tcPr>
          <w:p>
            <w:pPr>
              <w:spacing w:line="240" w:lineRule="exact"/>
              <w:jc w:val="center"/>
              <w:rPr>
                <w:rFonts w:hint="eastAsia" w:eastAsia="仿宋_GB2312"/>
                <w:kern w:val="0"/>
                <w:sz w:val="21"/>
                <w:szCs w:val="21"/>
                <w:lang w:val="en-US" w:eastAsia="zh-CN"/>
              </w:rPr>
            </w:pPr>
            <w:r>
              <w:rPr>
                <w:kern w:val="0"/>
                <w:sz w:val="21"/>
                <w:szCs w:val="21"/>
              </w:rPr>
              <w:t> </w:t>
            </w:r>
            <w:r>
              <w:rPr>
                <w:rFonts w:hint="eastAsia"/>
                <w:kern w:val="0"/>
                <w:sz w:val="21"/>
                <w:szCs w:val="21"/>
                <w:lang w:val="en-US" w:eastAsia="zh-CN"/>
              </w:rPr>
              <w:t>0</w:t>
            </w:r>
          </w:p>
        </w:tc>
      </w:tr>
      <w:tr>
        <w:tblPrEx>
          <w:tblCellMar>
            <w:top w:w="0" w:type="dxa"/>
            <w:left w:w="0" w:type="dxa"/>
            <w:bottom w:w="0" w:type="dxa"/>
            <w:right w:w="0" w:type="dxa"/>
          </w:tblCellMar>
        </w:tblPrEx>
        <w:trPr>
          <w:trHeight w:val="397" w:hRule="exac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r>
              <w:rPr>
                <w:rFonts w:hint="eastAsia"/>
                <w:kern w:val="0"/>
                <w:sz w:val="21"/>
                <w:szCs w:val="21"/>
              </w:rPr>
              <w:t>　　</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rPr>
              <w:t> </w:t>
            </w:r>
            <w:r>
              <w:rPr>
                <w:rFonts w:hint="eastAsia"/>
                <w:kern w:val="0"/>
                <w:sz w:val="21"/>
                <w:szCs w:val="21"/>
                <w:lang w:val="en-US" w:eastAsia="zh-CN"/>
              </w:rPr>
              <w:t>0</w:t>
            </w:r>
            <w:r>
              <w:rPr>
                <w:rFonts w:hint="eastAsia"/>
                <w:kern w:val="0"/>
                <w:sz w:val="21"/>
                <w:szCs w:val="21"/>
              </w:rPr>
              <w:t>　</w:t>
            </w:r>
          </w:p>
        </w:tc>
        <w:tc>
          <w:tcPr>
            <w:tcW w:w="2398" w:type="dxa"/>
            <w:tcBorders>
              <w:top w:val="nil"/>
              <w:left w:val="nil"/>
              <w:bottom w:val="single" w:color="auto" w:sz="8" w:space="0"/>
              <w:right w:val="single" w:color="auto" w:sz="8" w:space="0"/>
            </w:tcBorders>
            <w:noWrap w:val="0"/>
            <w:tcMar>
              <w:left w:w="57" w:type="dxa"/>
              <w:right w:w="57" w:type="dxa"/>
            </w:tcMar>
            <w:vAlign w:val="center"/>
          </w:tcPr>
          <w:p>
            <w:pPr>
              <w:spacing w:line="240" w:lineRule="exact"/>
              <w:jc w:val="center"/>
              <w:rPr>
                <w:rFonts w:hint="eastAsia" w:eastAsia="仿宋_GB2312"/>
                <w:kern w:val="0"/>
                <w:sz w:val="21"/>
                <w:szCs w:val="21"/>
                <w:lang w:val="en-US" w:eastAsia="zh-CN"/>
              </w:rPr>
            </w:pPr>
            <w:r>
              <w:rPr>
                <w:kern w:val="0"/>
                <w:sz w:val="21"/>
                <w:szCs w:val="21"/>
              </w:rPr>
              <w:t> </w:t>
            </w:r>
            <w:r>
              <w:rPr>
                <w:rFonts w:hint="eastAsia"/>
                <w:kern w:val="0"/>
                <w:sz w:val="21"/>
                <w:szCs w:val="21"/>
                <w:lang w:val="en-US" w:eastAsia="zh-CN"/>
              </w:rPr>
              <w:t>0</w:t>
            </w:r>
          </w:p>
        </w:tc>
      </w:tr>
      <w:tr>
        <w:tblPrEx>
          <w:tblCellMar>
            <w:top w:w="0" w:type="dxa"/>
            <w:left w:w="0" w:type="dxa"/>
            <w:bottom w:w="0" w:type="dxa"/>
            <w:right w:w="0" w:type="dxa"/>
          </w:tblCellMar>
        </w:tblPrEx>
        <w:trPr>
          <w:trHeight w:val="397" w:hRule="exact"/>
        </w:trPr>
        <w:tc>
          <w:tcPr>
            <w:tcW w:w="9221"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spacing w:line="240" w:lineRule="exact"/>
              <w:jc w:val="center"/>
              <w:rPr>
                <w:kern w:val="0"/>
                <w:sz w:val="21"/>
                <w:szCs w:val="21"/>
              </w:rPr>
            </w:pPr>
            <w:r>
              <w:rPr>
                <w:rFonts w:hint="eastAsia"/>
                <w:kern w:val="0"/>
                <w:sz w:val="21"/>
                <w:szCs w:val="21"/>
              </w:rPr>
              <w:t>第二十条第（五）项</w:t>
            </w:r>
          </w:p>
        </w:tc>
      </w:tr>
      <w:tr>
        <w:tblPrEx>
          <w:tblCellMar>
            <w:top w:w="0" w:type="dxa"/>
            <w:left w:w="0" w:type="dxa"/>
            <w:bottom w:w="0" w:type="dxa"/>
            <w:right w:w="0" w:type="dxa"/>
          </w:tblCellMar>
        </w:tblPrEx>
        <w:trPr>
          <w:trHeight w:val="397" w:hRule="exac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rPr>
              <w:t>信息内容</w:t>
            </w:r>
          </w:p>
        </w:tc>
        <w:tc>
          <w:tcPr>
            <w:tcW w:w="7268" w:type="dxa"/>
            <w:gridSpan w:val="3"/>
            <w:tcBorders>
              <w:top w:val="nil"/>
              <w:left w:val="nil"/>
              <w:bottom w:val="single" w:color="auto" w:sz="8" w:space="0"/>
              <w:right w:val="single" w:color="auto"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rPr>
              <w:t>本年处理决定数量</w:t>
            </w:r>
          </w:p>
        </w:tc>
      </w:tr>
      <w:tr>
        <w:tblPrEx>
          <w:tblCellMar>
            <w:top w:w="0" w:type="dxa"/>
            <w:left w:w="0" w:type="dxa"/>
            <w:bottom w:w="0" w:type="dxa"/>
            <w:right w:w="0" w:type="dxa"/>
          </w:tblCellMar>
        </w:tblPrEx>
        <w:trPr>
          <w:trHeight w:val="397" w:hRule="exac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rPr>
              <w:t>行政许可</w:t>
            </w:r>
          </w:p>
        </w:tc>
        <w:tc>
          <w:tcPr>
            <w:tcW w:w="7268" w:type="dxa"/>
            <w:gridSpan w:val="3"/>
            <w:tcBorders>
              <w:top w:val="nil"/>
              <w:left w:val="nil"/>
              <w:bottom w:val="single" w:color="auto" w:sz="8" w:space="0"/>
              <w:right w:val="single" w:color="auto"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r>
              <w:rPr>
                <w:kern w:val="0"/>
                <w:sz w:val="21"/>
                <w:szCs w:val="21"/>
              </w:rPr>
              <w:t> </w:t>
            </w:r>
          </w:p>
        </w:tc>
      </w:tr>
      <w:tr>
        <w:tblPrEx>
          <w:tblCellMar>
            <w:top w:w="0" w:type="dxa"/>
            <w:left w:w="0" w:type="dxa"/>
            <w:bottom w:w="0" w:type="dxa"/>
            <w:right w:w="0" w:type="dxa"/>
          </w:tblCellMar>
        </w:tblPrEx>
        <w:trPr>
          <w:trHeight w:val="397" w:hRule="exact"/>
        </w:trPr>
        <w:tc>
          <w:tcPr>
            <w:tcW w:w="9221"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spacing w:line="240" w:lineRule="exact"/>
              <w:jc w:val="center"/>
              <w:rPr>
                <w:kern w:val="0"/>
                <w:sz w:val="21"/>
                <w:szCs w:val="21"/>
              </w:rPr>
            </w:pPr>
            <w:r>
              <w:rPr>
                <w:rFonts w:hint="eastAsia"/>
                <w:kern w:val="0"/>
                <w:sz w:val="21"/>
                <w:szCs w:val="21"/>
              </w:rPr>
              <w:t>第二十条第（六）项</w:t>
            </w:r>
          </w:p>
        </w:tc>
      </w:tr>
      <w:tr>
        <w:tblPrEx>
          <w:tblCellMar>
            <w:top w:w="0" w:type="dxa"/>
            <w:left w:w="0" w:type="dxa"/>
            <w:bottom w:w="0" w:type="dxa"/>
            <w:right w:w="0" w:type="dxa"/>
          </w:tblCellMar>
        </w:tblPrEx>
        <w:trPr>
          <w:trHeight w:val="397" w:hRule="exac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rPr>
              <w:t>信息内容</w:t>
            </w:r>
          </w:p>
        </w:tc>
        <w:tc>
          <w:tcPr>
            <w:tcW w:w="7268"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rPr>
              <w:t>本年处理决定数量</w:t>
            </w:r>
          </w:p>
        </w:tc>
      </w:tr>
      <w:tr>
        <w:tblPrEx>
          <w:tblCellMar>
            <w:top w:w="0" w:type="dxa"/>
            <w:left w:w="0" w:type="dxa"/>
            <w:bottom w:w="0" w:type="dxa"/>
            <w:right w:w="0" w:type="dxa"/>
          </w:tblCellMar>
        </w:tblPrEx>
        <w:trPr>
          <w:trHeight w:val="397" w:hRule="exac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rPr>
              <w:t>行政处罚</w:t>
            </w:r>
          </w:p>
        </w:tc>
        <w:tc>
          <w:tcPr>
            <w:tcW w:w="7268" w:type="dxa"/>
            <w:gridSpan w:val="3"/>
            <w:tcBorders>
              <w:top w:val="nil"/>
              <w:left w:val="nil"/>
              <w:bottom w:val="single" w:color="auto" w:sz="8" w:space="0"/>
              <w:right w:val="single" w:color="auto"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r>
              <w:rPr>
                <w:rFonts w:hint="eastAsia"/>
                <w:kern w:val="0"/>
                <w:sz w:val="21"/>
                <w:szCs w:val="21"/>
              </w:rPr>
              <w:t>　</w:t>
            </w:r>
          </w:p>
        </w:tc>
      </w:tr>
      <w:tr>
        <w:tblPrEx>
          <w:tblCellMar>
            <w:top w:w="0" w:type="dxa"/>
            <w:left w:w="0" w:type="dxa"/>
            <w:bottom w:w="0" w:type="dxa"/>
            <w:right w:w="0" w:type="dxa"/>
          </w:tblCellMar>
        </w:tblPrEx>
        <w:trPr>
          <w:trHeight w:val="397" w:hRule="exac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rPr>
              <w:t>行政强制</w:t>
            </w:r>
          </w:p>
        </w:tc>
        <w:tc>
          <w:tcPr>
            <w:tcW w:w="7268" w:type="dxa"/>
            <w:gridSpan w:val="3"/>
            <w:tcBorders>
              <w:top w:val="nil"/>
              <w:left w:val="nil"/>
              <w:bottom w:val="single" w:color="auto" w:sz="8" w:space="0"/>
              <w:right w:val="single" w:color="auto"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r>
              <w:rPr>
                <w:rFonts w:hint="eastAsia"/>
                <w:kern w:val="0"/>
                <w:sz w:val="21"/>
                <w:szCs w:val="21"/>
              </w:rPr>
              <w:t>　</w:t>
            </w:r>
          </w:p>
        </w:tc>
      </w:tr>
      <w:tr>
        <w:tblPrEx>
          <w:tblCellMar>
            <w:top w:w="0" w:type="dxa"/>
            <w:left w:w="0" w:type="dxa"/>
            <w:bottom w:w="0" w:type="dxa"/>
            <w:right w:w="0" w:type="dxa"/>
          </w:tblCellMar>
        </w:tblPrEx>
        <w:trPr>
          <w:trHeight w:val="397" w:hRule="exact"/>
        </w:trPr>
        <w:tc>
          <w:tcPr>
            <w:tcW w:w="9221"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spacing w:line="240" w:lineRule="exact"/>
              <w:jc w:val="center"/>
              <w:rPr>
                <w:kern w:val="0"/>
                <w:sz w:val="21"/>
                <w:szCs w:val="21"/>
              </w:rPr>
            </w:pPr>
            <w:r>
              <w:rPr>
                <w:rFonts w:hint="eastAsia"/>
                <w:kern w:val="0"/>
                <w:sz w:val="21"/>
                <w:szCs w:val="21"/>
              </w:rPr>
              <w:t>第二十条第（八）项</w:t>
            </w:r>
          </w:p>
        </w:tc>
      </w:tr>
      <w:tr>
        <w:tblPrEx>
          <w:tblCellMar>
            <w:top w:w="0" w:type="dxa"/>
            <w:left w:w="0" w:type="dxa"/>
            <w:bottom w:w="0" w:type="dxa"/>
            <w:right w:w="0" w:type="dxa"/>
          </w:tblCellMar>
        </w:tblPrEx>
        <w:trPr>
          <w:trHeight w:val="397" w:hRule="exac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rPr>
              <w:t>信息内容</w:t>
            </w:r>
          </w:p>
        </w:tc>
        <w:tc>
          <w:tcPr>
            <w:tcW w:w="7268" w:type="dxa"/>
            <w:gridSpan w:val="3"/>
            <w:tcBorders>
              <w:top w:val="nil"/>
              <w:left w:val="nil"/>
              <w:bottom w:val="single" w:color="auto" w:sz="8" w:space="0"/>
              <w:right w:val="single" w:color="000000"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rPr>
              <w:t>本年收费金额（单位：万元）</w:t>
            </w:r>
          </w:p>
        </w:tc>
      </w:tr>
      <w:tr>
        <w:tblPrEx>
          <w:tblCellMar>
            <w:top w:w="0" w:type="dxa"/>
            <w:left w:w="0" w:type="dxa"/>
            <w:bottom w:w="0" w:type="dxa"/>
            <w:right w:w="0" w:type="dxa"/>
          </w:tblCellMar>
        </w:tblPrEx>
        <w:trPr>
          <w:trHeight w:val="397" w:hRule="exac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rPr>
              <w:t>行政事业性收费</w:t>
            </w:r>
          </w:p>
        </w:tc>
        <w:tc>
          <w:tcPr>
            <w:tcW w:w="7268" w:type="dxa"/>
            <w:gridSpan w:val="3"/>
            <w:tcBorders>
              <w:top w:val="nil"/>
              <w:left w:val="nil"/>
              <w:bottom w:val="single" w:color="auto" w:sz="8" w:space="0"/>
              <w:right w:val="single" w:color="000000" w:sz="8" w:space="0"/>
            </w:tcBorders>
            <w:noWrap w:val="0"/>
            <w:tcMar>
              <w:left w:w="57" w:type="dxa"/>
              <w:right w:w="57" w:type="dxa"/>
            </w:tcMar>
            <w:vAlign w:val="center"/>
          </w:tcPr>
          <w:p>
            <w:pPr>
              <w:spacing w:line="240" w:lineRule="exact"/>
              <w:jc w:val="center"/>
              <w:rPr>
                <w:rFonts w:hint="default" w:eastAsia="仿宋_GB2312"/>
                <w:kern w:val="0"/>
                <w:sz w:val="21"/>
                <w:szCs w:val="21"/>
                <w:lang w:val="en-US" w:eastAsia="zh-CN"/>
              </w:rPr>
            </w:pPr>
            <w:r>
              <w:rPr>
                <w:rFonts w:hint="eastAsia"/>
                <w:kern w:val="0"/>
                <w:sz w:val="21"/>
                <w:szCs w:val="21"/>
                <w:lang w:val="en-US" w:eastAsia="zh-CN"/>
              </w:rPr>
              <w:t>437.08</w:t>
            </w:r>
          </w:p>
        </w:tc>
      </w:tr>
    </w:tbl>
    <w:p>
      <w:pPr>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三、收到和处理政府信息公开申请情况</w:t>
      </w:r>
    </w:p>
    <w:tbl>
      <w:tblPr>
        <w:tblStyle w:val="6"/>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85"/>
        <w:gridCol w:w="959"/>
        <w:gridCol w:w="2630"/>
        <w:gridCol w:w="642"/>
        <w:gridCol w:w="714"/>
        <w:gridCol w:w="714"/>
        <w:gridCol w:w="714"/>
        <w:gridCol w:w="714"/>
        <w:gridCol w:w="714"/>
        <w:gridCol w:w="70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4374" w:type="dxa"/>
            <w:gridSpan w:val="3"/>
            <w:vMerge w:val="restart"/>
            <w:noWrap w:val="0"/>
            <w:tcMar>
              <w:left w:w="108" w:type="dxa"/>
              <w:right w:w="108" w:type="dxa"/>
            </w:tcMar>
            <w:vAlign w:val="center"/>
          </w:tcPr>
          <w:p>
            <w:pPr>
              <w:spacing w:line="240" w:lineRule="exact"/>
              <w:jc w:val="center"/>
              <w:rPr>
                <w:kern w:val="0"/>
                <w:sz w:val="21"/>
                <w:szCs w:val="21"/>
              </w:rPr>
            </w:pPr>
            <w:r>
              <w:rPr>
                <w:kern w:val="0"/>
                <w:sz w:val="21"/>
                <w:szCs w:val="21"/>
              </w:rPr>
              <w:t>（本列数据的勾稽关系为：第一项加第二项之和，等于第三项加第四项之和）</w:t>
            </w:r>
          </w:p>
        </w:tc>
        <w:tc>
          <w:tcPr>
            <w:tcW w:w="4913" w:type="dxa"/>
            <w:gridSpan w:val="7"/>
            <w:noWrap w:val="0"/>
            <w:tcMar>
              <w:left w:w="57" w:type="dxa"/>
              <w:right w:w="57" w:type="dxa"/>
            </w:tcMar>
            <w:vAlign w:val="center"/>
          </w:tcPr>
          <w:p>
            <w:pPr>
              <w:spacing w:line="240" w:lineRule="exact"/>
              <w:jc w:val="center"/>
              <w:rPr>
                <w:kern w:val="0"/>
                <w:sz w:val="21"/>
                <w:szCs w:val="21"/>
              </w:rPr>
            </w:pPr>
            <w:r>
              <w:rPr>
                <w:rFonts w:hint="eastAsia"/>
                <w:kern w:val="0"/>
                <w:sz w:val="21"/>
                <w:szCs w:val="21"/>
              </w:rPr>
              <w:t>申请人情况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4374" w:type="dxa"/>
            <w:gridSpan w:val="3"/>
            <w:vMerge w:val="continue"/>
            <w:noWrap w:val="0"/>
            <w:tcMar>
              <w:left w:w="108" w:type="dxa"/>
              <w:right w:w="108" w:type="dxa"/>
            </w:tcMar>
            <w:vAlign w:val="center"/>
          </w:tcPr>
          <w:p>
            <w:pPr>
              <w:spacing w:line="240" w:lineRule="exact"/>
              <w:jc w:val="center"/>
              <w:rPr>
                <w:rFonts w:hint="eastAsia"/>
                <w:kern w:val="0"/>
                <w:sz w:val="21"/>
                <w:szCs w:val="21"/>
              </w:rPr>
            </w:pPr>
          </w:p>
        </w:tc>
        <w:tc>
          <w:tcPr>
            <w:tcW w:w="642" w:type="dxa"/>
            <w:vMerge w:val="restart"/>
            <w:noWrap w:val="0"/>
            <w:tcMar>
              <w:left w:w="57" w:type="dxa"/>
              <w:right w:w="57" w:type="dxa"/>
            </w:tcMar>
            <w:vAlign w:val="center"/>
          </w:tcPr>
          <w:p>
            <w:pPr>
              <w:spacing w:line="240" w:lineRule="exact"/>
              <w:jc w:val="center"/>
              <w:rPr>
                <w:kern w:val="0"/>
                <w:sz w:val="21"/>
                <w:szCs w:val="21"/>
              </w:rPr>
            </w:pPr>
            <w:r>
              <w:rPr>
                <w:rFonts w:hint="eastAsia"/>
                <w:kern w:val="0"/>
                <w:sz w:val="21"/>
                <w:szCs w:val="21"/>
              </w:rPr>
              <w:t>自然人</w:t>
            </w:r>
          </w:p>
        </w:tc>
        <w:tc>
          <w:tcPr>
            <w:tcW w:w="3570" w:type="dxa"/>
            <w:gridSpan w:val="5"/>
            <w:noWrap w:val="0"/>
            <w:tcMar>
              <w:left w:w="108" w:type="dxa"/>
              <w:right w:w="108" w:type="dxa"/>
            </w:tcMar>
            <w:vAlign w:val="center"/>
          </w:tcPr>
          <w:p>
            <w:pPr>
              <w:spacing w:line="240" w:lineRule="exact"/>
              <w:jc w:val="center"/>
              <w:rPr>
                <w:kern w:val="0"/>
                <w:sz w:val="21"/>
                <w:szCs w:val="21"/>
              </w:rPr>
            </w:pPr>
            <w:r>
              <w:rPr>
                <w:rFonts w:hint="eastAsia"/>
                <w:kern w:val="0"/>
                <w:sz w:val="21"/>
                <w:szCs w:val="21"/>
              </w:rPr>
              <w:t>法人或其他组织</w:t>
            </w:r>
          </w:p>
        </w:tc>
        <w:tc>
          <w:tcPr>
            <w:tcW w:w="701" w:type="dxa"/>
            <w:vMerge w:val="restart"/>
            <w:noWrap w:val="0"/>
            <w:tcMar>
              <w:left w:w="108" w:type="dxa"/>
              <w:right w:w="108" w:type="dxa"/>
            </w:tcMar>
            <w:vAlign w:val="center"/>
          </w:tcPr>
          <w:p>
            <w:pPr>
              <w:spacing w:line="240" w:lineRule="exact"/>
              <w:jc w:val="center"/>
              <w:rPr>
                <w:kern w:val="0"/>
                <w:sz w:val="21"/>
                <w:szCs w:val="21"/>
              </w:rPr>
            </w:pPr>
            <w:r>
              <w:rPr>
                <w:rFonts w:hint="eastAsia"/>
                <w:kern w:val="0"/>
                <w:sz w:val="21"/>
                <w:szCs w:val="21"/>
              </w:rPr>
              <w:t>总计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4374" w:type="dxa"/>
            <w:gridSpan w:val="3"/>
            <w:vMerge w:val="continue"/>
            <w:noWrap w:val="0"/>
            <w:tcMar>
              <w:left w:w="108" w:type="dxa"/>
              <w:right w:w="108" w:type="dxa"/>
            </w:tcMar>
            <w:vAlign w:val="center"/>
          </w:tcPr>
          <w:p>
            <w:pPr>
              <w:spacing w:line="240" w:lineRule="exact"/>
              <w:jc w:val="center"/>
              <w:rPr>
                <w:rFonts w:hint="eastAsia"/>
                <w:kern w:val="0"/>
                <w:sz w:val="21"/>
                <w:szCs w:val="21"/>
              </w:rPr>
            </w:pPr>
          </w:p>
        </w:tc>
        <w:tc>
          <w:tcPr>
            <w:tcW w:w="642" w:type="dxa"/>
            <w:vMerge w:val="continue"/>
            <w:noWrap w:val="0"/>
            <w:tcMar>
              <w:left w:w="57" w:type="dxa"/>
              <w:right w:w="57" w:type="dxa"/>
            </w:tcMar>
            <w:vAlign w:val="center"/>
          </w:tcPr>
          <w:p>
            <w:pPr>
              <w:spacing w:line="240" w:lineRule="exact"/>
              <w:jc w:val="center"/>
              <w:rPr>
                <w:rFonts w:hint="eastAsia"/>
                <w:kern w:val="0"/>
                <w:sz w:val="21"/>
                <w:szCs w:val="21"/>
              </w:rPr>
            </w:pPr>
          </w:p>
        </w:tc>
        <w:tc>
          <w:tcPr>
            <w:tcW w:w="714" w:type="dxa"/>
            <w:noWrap w:val="0"/>
            <w:tcMar>
              <w:left w:w="108" w:type="dxa"/>
              <w:right w:w="108" w:type="dxa"/>
            </w:tcMar>
            <w:vAlign w:val="center"/>
          </w:tcPr>
          <w:p>
            <w:pPr>
              <w:spacing w:line="240" w:lineRule="exact"/>
              <w:jc w:val="center"/>
              <w:rPr>
                <w:kern w:val="0"/>
                <w:sz w:val="21"/>
                <w:szCs w:val="21"/>
              </w:rPr>
            </w:pPr>
            <w:r>
              <w:rPr>
                <w:rFonts w:hint="eastAsia"/>
                <w:kern w:val="0"/>
                <w:sz w:val="21"/>
                <w:szCs w:val="21"/>
              </w:rPr>
              <w:t>商业</w:t>
            </w:r>
          </w:p>
          <w:p>
            <w:pPr>
              <w:spacing w:line="240" w:lineRule="exact"/>
              <w:jc w:val="center"/>
              <w:rPr>
                <w:kern w:val="0"/>
                <w:sz w:val="21"/>
                <w:szCs w:val="21"/>
              </w:rPr>
            </w:pPr>
            <w:r>
              <w:rPr>
                <w:rFonts w:hint="eastAsia"/>
                <w:kern w:val="0"/>
                <w:sz w:val="21"/>
                <w:szCs w:val="21"/>
              </w:rPr>
              <w:t>企业</w:t>
            </w:r>
          </w:p>
        </w:tc>
        <w:tc>
          <w:tcPr>
            <w:tcW w:w="714" w:type="dxa"/>
            <w:noWrap w:val="0"/>
            <w:tcMar>
              <w:left w:w="108" w:type="dxa"/>
              <w:right w:w="108" w:type="dxa"/>
            </w:tcMar>
            <w:vAlign w:val="center"/>
          </w:tcPr>
          <w:p>
            <w:pPr>
              <w:spacing w:line="240" w:lineRule="exact"/>
              <w:jc w:val="center"/>
              <w:rPr>
                <w:kern w:val="0"/>
                <w:sz w:val="21"/>
                <w:szCs w:val="21"/>
              </w:rPr>
            </w:pPr>
            <w:r>
              <w:rPr>
                <w:rFonts w:hint="eastAsia"/>
                <w:kern w:val="0"/>
                <w:sz w:val="21"/>
                <w:szCs w:val="21"/>
              </w:rPr>
              <w:t>科研</w:t>
            </w:r>
          </w:p>
          <w:p>
            <w:pPr>
              <w:spacing w:line="240" w:lineRule="exact"/>
              <w:jc w:val="center"/>
              <w:rPr>
                <w:kern w:val="0"/>
                <w:sz w:val="21"/>
                <w:szCs w:val="21"/>
              </w:rPr>
            </w:pPr>
            <w:r>
              <w:rPr>
                <w:rFonts w:hint="eastAsia"/>
                <w:kern w:val="0"/>
                <w:sz w:val="21"/>
                <w:szCs w:val="21"/>
              </w:rPr>
              <w:t>机构</w:t>
            </w:r>
          </w:p>
        </w:tc>
        <w:tc>
          <w:tcPr>
            <w:tcW w:w="714" w:type="dxa"/>
            <w:noWrap w:val="0"/>
            <w:tcMar>
              <w:left w:w="108" w:type="dxa"/>
              <w:right w:w="108" w:type="dxa"/>
            </w:tcMar>
            <w:vAlign w:val="center"/>
          </w:tcPr>
          <w:p>
            <w:pPr>
              <w:spacing w:line="240" w:lineRule="exact"/>
              <w:jc w:val="center"/>
              <w:rPr>
                <w:kern w:val="0"/>
                <w:sz w:val="21"/>
                <w:szCs w:val="21"/>
              </w:rPr>
            </w:pPr>
            <w:r>
              <w:rPr>
                <w:rFonts w:hint="eastAsia"/>
                <w:kern w:val="0"/>
                <w:sz w:val="21"/>
                <w:szCs w:val="21"/>
              </w:rPr>
              <w:t>社会公益组织</w:t>
            </w:r>
          </w:p>
        </w:tc>
        <w:tc>
          <w:tcPr>
            <w:tcW w:w="714" w:type="dxa"/>
            <w:noWrap w:val="0"/>
            <w:tcMar>
              <w:left w:w="108" w:type="dxa"/>
              <w:right w:w="108" w:type="dxa"/>
            </w:tcMar>
            <w:vAlign w:val="center"/>
          </w:tcPr>
          <w:p>
            <w:pPr>
              <w:spacing w:line="240" w:lineRule="exact"/>
              <w:jc w:val="center"/>
              <w:rPr>
                <w:kern w:val="0"/>
                <w:sz w:val="21"/>
                <w:szCs w:val="21"/>
              </w:rPr>
            </w:pPr>
            <w:r>
              <w:rPr>
                <w:rFonts w:hint="eastAsia"/>
                <w:kern w:val="0"/>
                <w:sz w:val="21"/>
                <w:szCs w:val="21"/>
              </w:rPr>
              <w:t>法律服务机构</w:t>
            </w:r>
          </w:p>
        </w:tc>
        <w:tc>
          <w:tcPr>
            <w:tcW w:w="714" w:type="dxa"/>
            <w:noWrap w:val="0"/>
            <w:tcMar>
              <w:left w:w="108" w:type="dxa"/>
              <w:right w:w="108" w:type="dxa"/>
            </w:tcMar>
            <w:vAlign w:val="center"/>
          </w:tcPr>
          <w:p>
            <w:pPr>
              <w:spacing w:line="240" w:lineRule="exact"/>
              <w:jc w:val="center"/>
              <w:rPr>
                <w:kern w:val="0"/>
                <w:sz w:val="21"/>
                <w:szCs w:val="21"/>
              </w:rPr>
            </w:pPr>
            <w:r>
              <w:rPr>
                <w:rFonts w:hint="eastAsia"/>
                <w:kern w:val="0"/>
                <w:sz w:val="21"/>
                <w:szCs w:val="21"/>
              </w:rPr>
              <w:t>其他</w:t>
            </w:r>
          </w:p>
        </w:tc>
        <w:tc>
          <w:tcPr>
            <w:tcW w:w="701" w:type="dxa"/>
            <w:vMerge w:val="continue"/>
            <w:noWrap w:val="0"/>
            <w:tcMar>
              <w:left w:w="108" w:type="dxa"/>
              <w:right w:w="108" w:type="dxa"/>
            </w:tcMar>
            <w:vAlign w:val="center"/>
          </w:tcPr>
          <w:p>
            <w:pPr>
              <w:spacing w:line="240" w:lineRule="exact"/>
              <w:jc w:val="center"/>
              <w:rPr>
                <w:rFonts w:hint="eastAsia"/>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7" w:hRule="exact"/>
        </w:trPr>
        <w:tc>
          <w:tcPr>
            <w:tcW w:w="4374" w:type="dxa"/>
            <w:gridSpan w:val="3"/>
            <w:noWrap w:val="0"/>
            <w:tcMar>
              <w:left w:w="57" w:type="dxa"/>
              <w:right w:w="57" w:type="dxa"/>
            </w:tcMar>
            <w:vAlign w:val="center"/>
          </w:tcPr>
          <w:p>
            <w:pPr>
              <w:spacing w:line="240" w:lineRule="exact"/>
              <w:jc w:val="center"/>
              <w:rPr>
                <w:kern w:val="0"/>
                <w:sz w:val="21"/>
                <w:szCs w:val="21"/>
              </w:rPr>
            </w:pPr>
            <w:r>
              <w:rPr>
                <w:rFonts w:hint="eastAsia"/>
                <w:kern w:val="0"/>
                <w:sz w:val="21"/>
                <w:szCs w:val="21"/>
              </w:rPr>
              <w:t>一、本年新收政府信息公开申请数量</w:t>
            </w:r>
          </w:p>
        </w:tc>
        <w:tc>
          <w:tcPr>
            <w:tcW w:w="642" w:type="dxa"/>
            <w:noWrap w:val="0"/>
            <w:tcMar>
              <w:left w:w="57" w:type="dxa"/>
              <w:right w:w="57" w:type="dxa"/>
            </w:tcMar>
            <w:vAlign w:val="center"/>
          </w:tcPr>
          <w:p>
            <w:pPr>
              <w:spacing w:line="240" w:lineRule="exact"/>
              <w:jc w:val="center"/>
              <w:rPr>
                <w:rFonts w:hint="default" w:eastAsia="仿宋_GB2312"/>
                <w:kern w:val="0"/>
                <w:sz w:val="21"/>
                <w:szCs w:val="21"/>
                <w:lang w:val="en-US" w:eastAsia="zh-CN"/>
              </w:rPr>
            </w:pPr>
            <w:r>
              <w:rPr>
                <w:rFonts w:hint="eastAsia"/>
                <w:kern w:val="0"/>
                <w:sz w:val="21"/>
                <w:szCs w:val="21"/>
                <w:lang w:val="en-US" w:eastAsia="zh-CN"/>
              </w:rPr>
              <w:t>26</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26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7" w:hRule="exact"/>
        </w:trPr>
        <w:tc>
          <w:tcPr>
            <w:tcW w:w="4374" w:type="dxa"/>
            <w:gridSpan w:val="3"/>
            <w:noWrap w:val="0"/>
            <w:tcMar>
              <w:left w:w="57" w:type="dxa"/>
              <w:right w:w="57" w:type="dxa"/>
            </w:tcMar>
            <w:vAlign w:val="center"/>
          </w:tcPr>
          <w:p>
            <w:pPr>
              <w:spacing w:line="240" w:lineRule="exact"/>
              <w:jc w:val="center"/>
              <w:rPr>
                <w:kern w:val="0"/>
                <w:sz w:val="21"/>
                <w:szCs w:val="21"/>
              </w:rPr>
            </w:pPr>
            <w:r>
              <w:rPr>
                <w:rFonts w:hint="eastAsia"/>
                <w:kern w:val="0"/>
                <w:sz w:val="21"/>
                <w:szCs w:val="21"/>
              </w:rPr>
              <w:t>二、上年结转政府信息公开申请数量</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restart"/>
            <w:noWrap w:val="0"/>
            <w:tcMar>
              <w:left w:w="57" w:type="dxa"/>
              <w:right w:w="57" w:type="dxa"/>
            </w:tcMar>
            <w:vAlign w:val="center"/>
          </w:tcPr>
          <w:p>
            <w:pPr>
              <w:spacing w:line="240" w:lineRule="exact"/>
              <w:jc w:val="center"/>
              <w:rPr>
                <w:kern w:val="0"/>
                <w:sz w:val="21"/>
                <w:szCs w:val="21"/>
              </w:rPr>
            </w:pPr>
            <w:r>
              <w:rPr>
                <w:rFonts w:hint="eastAsia"/>
                <w:kern w:val="0"/>
                <w:sz w:val="21"/>
                <w:szCs w:val="21"/>
              </w:rPr>
              <w:t>三、本年度办理结果</w:t>
            </w:r>
          </w:p>
        </w:tc>
        <w:tc>
          <w:tcPr>
            <w:tcW w:w="3589" w:type="dxa"/>
            <w:gridSpan w:val="2"/>
            <w:noWrap w:val="0"/>
            <w:tcMar>
              <w:left w:w="57" w:type="dxa"/>
              <w:right w:w="57" w:type="dxa"/>
            </w:tcMar>
            <w:vAlign w:val="center"/>
          </w:tcPr>
          <w:p>
            <w:pPr>
              <w:spacing w:line="240" w:lineRule="exact"/>
              <w:jc w:val="center"/>
              <w:rPr>
                <w:kern w:val="0"/>
                <w:sz w:val="21"/>
                <w:szCs w:val="21"/>
              </w:rPr>
            </w:pPr>
            <w:r>
              <w:rPr>
                <w:rFonts w:hint="eastAsia"/>
                <w:kern w:val="0"/>
                <w:sz w:val="21"/>
                <w:szCs w:val="21"/>
              </w:rPr>
              <w:t>（一）予以公开</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7</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3589" w:type="dxa"/>
            <w:gridSpan w:val="2"/>
            <w:noWrap w:val="0"/>
            <w:tcMar>
              <w:left w:w="57" w:type="dxa"/>
              <w:right w:w="57" w:type="dxa"/>
            </w:tcMar>
            <w:vAlign w:val="center"/>
          </w:tcPr>
          <w:p>
            <w:pPr>
              <w:spacing w:line="240" w:lineRule="exact"/>
              <w:jc w:val="center"/>
              <w:rPr>
                <w:kern w:val="0"/>
                <w:sz w:val="21"/>
                <w:szCs w:val="21"/>
              </w:rPr>
            </w:pPr>
            <w:r>
              <w:rPr>
                <w:rFonts w:hint="eastAsia"/>
                <w:kern w:val="0"/>
                <w:sz w:val="21"/>
                <w:szCs w:val="21"/>
              </w:rPr>
              <w:t>（二）部分公开（区分处理的，只计这一情形，不计其他情形）</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5</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restart"/>
            <w:noWrap w:val="0"/>
            <w:tcMar>
              <w:left w:w="57" w:type="dxa"/>
              <w:right w:w="57" w:type="dxa"/>
            </w:tcMar>
            <w:vAlign w:val="center"/>
          </w:tcPr>
          <w:p>
            <w:pPr>
              <w:spacing w:line="240" w:lineRule="exact"/>
              <w:jc w:val="center"/>
              <w:rPr>
                <w:rFonts w:hint="eastAsia"/>
                <w:kern w:val="0"/>
                <w:sz w:val="21"/>
                <w:szCs w:val="21"/>
              </w:rPr>
            </w:pPr>
            <w:r>
              <w:rPr>
                <w:rFonts w:hint="eastAsia"/>
                <w:kern w:val="0"/>
                <w:sz w:val="21"/>
                <w:szCs w:val="21"/>
              </w:rPr>
              <w:t>（三）</w:t>
            </w:r>
          </w:p>
          <w:p>
            <w:pPr>
              <w:spacing w:line="240" w:lineRule="exact"/>
              <w:jc w:val="center"/>
              <w:rPr>
                <w:rFonts w:hint="eastAsia"/>
                <w:kern w:val="0"/>
                <w:sz w:val="21"/>
                <w:szCs w:val="21"/>
              </w:rPr>
            </w:pPr>
            <w:r>
              <w:rPr>
                <w:rFonts w:hint="eastAsia"/>
                <w:kern w:val="0"/>
                <w:sz w:val="21"/>
                <w:szCs w:val="21"/>
              </w:rPr>
              <w:t>不予</w:t>
            </w:r>
          </w:p>
          <w:p>
            <w:pPr>
              <w:spacing w:line="240" w:lineRule="exact"/>
              <w:jc w:val="center"/>
              <w:rPr>
                <w:kern w:val="0"/>
                <w:sz w:val="21"/>
                <w:szCs w:val="21"/>
              </w:rPr>
            </w:pPr>
            <w:r>
              <w:rPr>
                <w:rFonts w:hint="eastAsia"/>
                <w:kern w:val="0"/>
                <w:sz w:val="21"/>
                <w:szCs w:val="21"/>
              </w:rPr>
              <w:t>公开</w:t>
            </w: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1.属于国家秘密</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2.其他法律行政法规禁止公开</w:t>
            </w:r>
          </w:p>
        </w:tc>
        <w:tc>
          <w:tcPr>
            <w:tcW w:w="642" w:type="dxa"/>
            <w:noWrap w:val="0"/>
            <w:tcMar>
              <w:left w:w="57" w:type="dxa"/>
              <w:right w:w="57" w:type="dxa"/>
            </w:tcMar>
            <w:vAlign w:val="center"/>
          </w:tcPr>
          <w:p>
            <w:pPr>
              <w:spacing w:line="240" w:lineRule="exact"/>
              <w:jc w:val="center"/>
              <w:rPr>
                <w:rFonts w:hint="eastAsia" w:eastAsia="仿宋_GB2312"/>
                <w:kern w:val="0"/>
                <w:sz w:val="21"/>
                <w:szCs w:val="21"/>
                <w:lang w:val="en-US" w:eastAsia="zh-CN"/>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jc w:val="center"/>
              <w:rPr>
                <w:kern w:val="0"/>
                <w:sz w:val="21"/>
                <w:szCs w:val="21"/>
              </w:rPr>
            </w:pPr>
            <w:r>
              <w:rPr>
                <w:rFonts w:hint="eastAsia"/>
                <w:kern w:val="0"/>
                <w:sz w:val="21"/>
                <w:szCs w:val="21"/>
              </w:rPr>
              <w:t>3.危及“三安全一稳定”</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4.保护第三方合法权益</w:t>
            </w:r>
          </w:p>
        </w:tc>
        <w:tc>
          <w:tcPr>
            <w:tcW w:w="642"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1</w:t>
            </w:r>
          </w:p>
        </w:tc>
        <w:tc>
          <w:tcPr>
            <w:tcW w:w="714"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r>
              <w:rPr>
                <w:kern w:val="0"/>
                <w:sz w:val="21"/>
                <w:szCs w:val="21"/>
              </w:rPr>
              <w:t> </w:t>
            </w:r>
          </w:p>
        </w:tc>
        <w:tc>
          <w:tcPr>
            <w:tcW w:w="714"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r>
              <w:rPr>
                <w:kern w:val="0"/>
                <w:sz w:val="21"/>
                <w:szCs w:val="21"/>
              </w:rPr>
              <w:t> </w:t>
            </w:r>
          </w:p>
        </w:tc>
        <w:tc>
          <w:tcPr>
            <w:tcW w:w="714"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r>
              <w:rPr>
                <w:kern w:val="0"/>
                <w:sz w:val="21"/>
                <w:szCs w:val="21"/>
              </w:rPr>
              <w:t> </w:t>
            </w:r>
          </w:p>
        </w:tc>
        <w:tc>
          <w:tcPr>
            <w:tcW w:w="701"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1</w:t>
            </w:r>
            <w:r>
              <w:rPr>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5.属于三类内部事务信息</w:t>
            </w:r>
          </w:p>
        </w:tc>
        <w:tc>
          <w:tcPr>
            <w:tcW w:w="642" w:type="dxa"/>
            <w:noWrap w:val="0"/>
            <w:tcMar>
              <w:left w:w="57" w:type="dxa"/>
              <w:right w:w="57" w:type="dxa"/>
            </w:tcMar>
            <w:vAlign w:val="top"/>
          </w:tcPr>
          <w:p>
            <w:pPr>
              <w:spacing w:line="240" w:lineRule="exact"/>
              <w:jc w:val="center"/>
              <w:rPr>
                <w:rFonts w:hint="eastAsia" w:eastAsia="仿宋_GB2312"/>
                <w:kern w:val="0"/>
                <w:sz w:val="21"/>
                <w:szCs w:val="21"/>
                <w:lang w:val="en-US" w:eastAsia="zh-CN"/>
              </w:rPr>
            </w:pP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6.属于四类过程性信息</w:t>
            </w:r>
          </w:p>
        </w:tc>
        <w:tc>
          <w:tcPr>
            <w:tcW w:w="642"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7.属于行政执法案卷</w:t>
            </w:r>
          </w:p>
        </w:tc>
        <w:tc>
          <w:tcPr>
            <w:tcW w:w="642" w:type="dxa"/>
            <w:noWrap w:val="0"/>
            <w:tcMar>
              <w:left w:w="57" w:type="dxa"/>
              <w:right w:w="57" w:type="dxa"/>
            </w:tcMar>
            <w:vAlign w:val="top"/>
          </w:tcPr>
          <w:p>
            <w:pPr>
              <w:spacing w:line="240" w:lineRule="exact"/>
              <w:jc w:val="center"/>
              <w:rPr>
                <w:rFonts w:hint="eastAsia" w:eastAsia="仿宋_GB2312"/>
                <w:kern w:val="0"/>
                <w:sz w:val="21"/>
                <w:szCs w:val="21"/>
                <w:lang w:val="en-US" w:eastAsia="zh-CN"/>
              </w:rPr>
            </w:pP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8.属于行政查询事项</w:t>
            </w:r>
          </w:p>
        </w:tc>
        <w:tc>
          <w:tcPr>
            <w:tcW w:w="642"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restart"/>
            <w:noWrap w:val="0"/>
            <w:tcMar>
              <w:left w:w="57" w:type="dxa"/>
              <w:right w:w="57" w:type="dxa"/>
            </w:tcMar>
            <w:vAlign w:val="center"/>
          </w:tcPr>
          <w:p>
            <w:pPr>
              <w:spacing w:line="240" w:lineRule="exact"/>
              <w:jc w:val="center"/>
              <w:rPr>
                <w:kern w:val="0"/>
                <w:sz w:val="21"/>
                <w:szCs w:val="21"/>
              </w:rPr>
            </w:pPr>
            <w:r>
              <w:rPr>
                <w:rFonts w:hint="eastAsia"/>
                <w:kern w:val="0"/>
                <w:sz w:val="21"/>
                <w:szCs w:val="21"/>
              </w:rPr>
              <w:t>（四）无法提供</w:t>
            </w: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1.本机关不掌握相关政府信息</w:t>
            </w:r>
          </w:p>
        </w:tc>
        <w:tc>
          <w:tcPr>
            <w:tcW w:w="642" w:type="dxa"/>
            <w:noWrap w:val="0"/>
            <w:tcMar>
              <w:left w:w="57" w:type="dxa"/>
              <w:right w:w="57" w:type="dxa"/>
            </w:tcMar>
            <w:vAlign w:val="center"/>
          </w:tcPr>
          <w:p>
            <w:pPr>
              <w:spacing w:line="240" w:lineRule="exact"/>
              <w:jc w:val="center"/>
              <w:rPr>
                <w:rFonts w:hint="default" w:eastAsia="仿宋_GB2312"/>
                <w:kern w:val="0"/>
                <w:sz w:val="21"/>
                <w:szCs w:val="21"/>
                <w:lang w:val="en-US" w:eastAsia="zh-CN"/>
              </w:rPr>
            </w:pPr>
            <w:r>
              <w:rPr>
                <w:rFonts w:hint="eastAsia"/>
                <w:kern w:val="0"/>
                <w:sz w:val="21"/>
                <w:szCs w:val="21"/>
                <w:lang w:val="en-US" w:eastAsia="zh-CN"/>
              </w:rPr>
              <w:t>11</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11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2.没有现成信息需要另行制作</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3.补正后申请内容仍不明确</w:t>
            </w:r>
          </w:p>
        </w:tc>
        <w:tc>
          <w:tcPr>
            <w:tcW w:w="642"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restart"/>
            <w:noWrap w:val="0"/>
            <w:tcMar>
              <w:left w:w="57" w:type="dxa"/>
              <w:right w:w="57" w:type="dxa"/>
            </w:tcMar>
            <w:vAlign w:val="center"/>
          </w:tcPr>
          <w:p>
            <w:pPr>
              <w:spacing w:line="240" w:lineRule="exact"/>
              <w:jc w:val="center"/>
              <w:rPr>
                <w:kern w:val="0"/>
                <w:sz w:val="21"/>
                <w:szCs w:val="21"/>
              </w:rPr>
            </w:pPr>
            <w:r>
              <w:rPr>
                <w:rFonts w:hint="eastAsia"/>
                <w:kern w:val="0"/>
                <w:sz w:val="21"/>
                <w:szCs w:val="21"/>
              </w:rPr>
              <w:t>（五）不予处理</w:t>
            </w: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1.信访举报投诉类申请</w:t>
            </w:r>
          </w:p>
        </w:tc>
        <w:tc>
          <w:tcPr>
            <w:tcW w:w="642" w:type="dxa"/>
            <w:noWrap w:val="0"/>
            <w:tcMar>
              <w:left w:w="57" w:type="dxa"/>
              <w:right w:w="57" w:type="dxa"/>
            </w:tcMar>
            <w:vAlign w:val="top"/>
          </w:tcPr>
          <w:p>
            <w:pPr>
              <w:spacing w:line="240" w:lineRule="exact"/>
              <w:jc w:val="center"/>
              <w:rPr>
                <w:rFonts w:hint="eastAsia" w:eastAsia="仿宋_GB2312"/>
                <w:kern w:val="0"/>
                <w:sz w:val="21"/>
                <w:szCs w:val="21"/>
                <w:lang w:val="en-US" w:eastAsia="zh-CN"/>
              </w:rPr>
            </w:pP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2.重复申请</w:t>
            </w:r>
          </w:p>
        </w:tc>
        <w:tc>
          <w:tcPr>
            <w:tcW w:w="642"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2</w:t>
            </w:r>
          </w:p>
        </w:tc>
        <w:tc>
          <w:tcPr>
            <w:tcW w:w="714"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top"/>
          </w:tcPr>
          <w:p>
            <w:pPr>
              <w:spacing w:line="240" w:lineRule="exact"/>
              <w:jc w:val="center"/>
              <w:rPr>
                <w:rFonts w:hint="eastAsia" w:eastAsia="仿宋_GB2312"/>
                <w:kern w:val="0"/>
                <w:sz w:val="21"/>
                <w:szCs w:val="21"/>
                <w:lang w:val="en-US" w:eastAsia="zh-CN"/>
              </w:rPr>
            </w:pPr>
            <w:r>
              <w:rPr>
                <w:kern w:val="0"/>
                <w:sz w:val="21"/>
                <w:szCs w:val="21"/>
              </w:rPr>
              <w:t> </w:t>
            </w:r>
            <w:r>
              <w:rPr>
                <w:rFonts w:hint="eastAsia"/>
                <w:kern w:val="0"/>
                <w:sz w:val="21"/>
                <w:szCs w:val="21"/>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3.要求提供公开出版物</w:t>
            </w:r>
          </w:p>
        </w:tc>
        <w:tc>
          <w:tcPr>
            <w:tcW w:w="642"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4.无正当理由大量反复申请</w:t>
            </w:r>
          </w:p>
        </w:tc>
        <w:tc>
          <w:tcPr>
            <w:tcW w:w="642"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79" w:hRule="atLeast"/>
        </w:trPr>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center"/>
          </w:tcPr>
          <w:p>
            <w:pPr>
              <w:spacing w:line="240" w:lineRule="exact"/>
              <w:rPr>
                <w:kern w:val="0"/>
                <w:sz w:val="21"/>
                <w:szCs w:val="21"/>
              </w:rPr>
            </w:pPr>
            <w:r>
              <w:rPr>
                <w:rFonts w:hint="eastAsia"/>
                <w:kern w:val="0"/>
                <w:sz w:val="21"/>
                <w:szCs w:val="21"/>
              </w:rPr>
              <w:t>5.要求行政机关确认或重新出具已获取信息</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restart"/>
            <w:noWrap w:val="0"/>
            <w:tcMar>
              <w:left w:w="57" w:type="dxa"/>
              <w:right w:w="57" w:type="dxa"/>
            </w:tcMar>
            <w:vAlign w:val="center"/>
          </w:tcPr>
          <w:p>
            <w:pPr>
              <w:spacing w:line="240" w:lineRule="exact"/>
              <w:jc w:val="center"/>
              <w:rPr>
                <w:kern w:val="0"/>
                <w:sz w:val="21"/>
                <w:szCs w:val="21"/>
              </w:rPr>
            </w:pPr>
            <w:r>
              <w:rPr>
                <w:rFonts w:hint="eastAsia"/>
                <w:kern w:val="0"/>
                <w:sz w:val="21"/>
                <w:szCs w:val="21"/>
              </w:rPr>
              <w:t>（六）其他处理</w:t>
            </w:r>
          </w:p>
        </w:tc>
        <w:tc>
          <w:tcPr>
            <w:tcW w:w="2630" w:type="dxa"/>
            <w:noWrap w:val="0"/>
            <w:tcMar>
              <w:left w:w="57" w:type="dxa"/>
              <w:right w:w="57" w:type="dxa"/>
            </w:tcMar>
            <w:vAlign w:val="center"/>
          </w:tcPr>
          <w:p>
            <w:pPr>
              <w:spacing w:line="240" w:lineRule="exact"/>
              <w:rPr>
                <w:kern w:val="0"/>
                <w:sz w:val="21"/>
                <w:szCs w:val="21"/>
              </w:rPr>
            </w:pPr>
            <w:r>
              <w:rPr>
                <w:rFonts w:hint="eastAsia"/>
                <w:kern w:val="0"/>
                <w:sz w:val="21"/>
                <w:szCs w:val="21"/>
              </w:rPr>
              <w:t>1.申请人无正当理由逾期不补正、行政机关不再处理其政府信息公开申请</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center"/>
          </w:tcPr>
          <w:p>
            <w:pPr>
              <w:spacing w:line="240" w:lineRule="exact"/>
              <w:rPr>
                <w:kern w:val="0"/>
                <w:sz w:val="21"/>
                <w:szCs w:val="21"/>
              </w:rPr>
            </w:pPr>
            <w:r>
              <w:rPr>
                <w:rFonts w:hint="eastAsia"/>
                <w:kern w:val="0"/>
                <w:sz w:val="21"/>
                <w:szCs w:val="21"/>
              </w:rPr>
              <w:t>2.申请人逾期未按收费通知要求缴纳费用、行政机关不再处理其政府信息公开申请</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center"/>
          </w:tcPr>
          <w:p>
            <w:pPr>
              <w:spacing w:line="240" w:lineRule="exact"/>
              <w:rPr>
                <w:kern w:val="0"/>
                <w:sz w:val="21"/>
                <w:szCs w:val="21"/>
              </w:rPr>
            </w:pPr>
            <w:r>
              <w:rPr>
                <w:rFonts w:hint="eastAsia"/>
                <w:kern w:val="0"/>
                <w:sz w:val="21"/>
                <w:szCs w:val="21"/>
              </w:rPr>
              <w:t>3.其他</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3589" w:type="dxa"/>
            <w:gridSpan w:val="2"/>
            <w:noWrap w:val="0"/>
            <w:tcMar>
              <w:left w:w="57" w:type="dxa"/>
              <w:right w:w="57" w:type="dxa"/>
            </w:tcMar>
            <w:vAlign w:val="center"/>
          </w:tcPr>
          <w:p>
            <w:pPr>
              <w:spacing w:line="240" w:lineRule="exact"/>
              <w:jc w:val="center"/>
              <w:rPr>
                <w:kern w:val="0"/>
                <w:sz w:val="21"/>
                <w:szCs w:val="21"/>
              </w:rPr>
            </w:pPr>
            <w:r>
              <w:rPr>
                <w:rFonts w:hint="eastAsia"/>
                <w:kern w:val="0"/>
                <w:sz w:val="21"/>
                <w:szCs w:val="21"/>
              </w:rPr>
              <w:t>（七）总计</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26</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top"/>
          </w:tcPr>
          <w:p>
            <w:pPr>
              <w:spacing w:line="240" w:lineRule="exact"/>
              <w:jc w:val="center"/>
              <w:rPr>
                <w:kern w:val="0"/>
                <w:sz w:val="21"/>
                <w:szCs w:val="21"/>
              </w:rPr>
            </w:pPr>
            <w:r>
              <w:rPr>
                <w:rFonts w:hint="eastAsia"/>
                <w:kern w:val="0"/>
                <w:sz w:val="21"/>
                <w:szCs w:val="21"/>
                <w:lang w:val="en-US" w:eastAsia="zh-CN"/>
              </w:rPr>
              <w:t>26</w:t>
            </w:r>
            <w:r>
              <w:rPr>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4374" w:type="dxa"/>
            <w:gridSpan w:val="3"/>
            <w:noWrap w:val="0"/>
            <w:tcMar>
              <w:left w:w="57" w:type="dxa"/>
              <w:right w:w="57" w:type="dxa"/>
            </w:tcMar>
            <w:vAlign w:val="center"/>
          </w:tcPr>
          <w:p>
            <w:pPr>
              <w:spacing w:line="240" w:lineRule="exact"/>
              <w:jc w:val="center"/>
              <w:rPr>
                <w:kern w:val="0"/>
                <w:sz w:val="21"/>
                <w:szCs w:val="21"/>
              </w:rPr>
            </w:pPr>
            <w:r>
              <w:rPr>
                <w:rFonts w:hint="eastAsia"/>
                <w:kern w:val="0"/>
                <w:sz w:val="21"/>
                <w:szCs w:val="21"/>
              </w:rPr>
              <w:t>四、结转下年度继续办理</w:t>
            </w:r>
          </w:p>
        </w:tc>
        <w:tc>
          <w:tcPr>
            <w:tcW w:w="642" w:type="dxa"/>
            <w:noWrap w:val="0"/>
            <w:tcMar>
              <w:left w:w="57" w:type="dxa"/>
              <w:right w:w="57" w:type="dxa"/>
            </w:tcMar>
            <w:vAlign w:val="center"/>
          </w:tcPr>
          <w:p>
            <w:pPr>
              <w:spacing w:line="240" w:lineRule="exact"/>
              <w:jc w:val="center"/>
              <w:rPr>
                <w:rFonts w:hint="eastAsia" w:eastAsia="仿宋_GB2312"/>
                <w:kern w:val="0"/>
                <w:sz w:val="21"/>
                <w:szCs w:val="21"/>
                <w:lang w:val="en-US" w:eastAsia="zh-CN"/>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top"/>
          </w:tcPr>
          <w:p>
            <w:pPr>
              <w:spacing w:line="240" w:lineRule="exact"/>
              <w:jc w:val="center"/>
              <w:rPr>
                <w:rFonts w:hint="eastAsia"/>
                <w:kern w:val="0"/>
                <w:sz w:val="21"/>
                <w:szCs w:val="21"/>
              </w:rPr>
            </w:pPr>
            <w:r>
              <w:rPr>
                <w:rFonts w:hint="eastAsia"/>
                <w:kern w:val="0"/>
                <w:sz w:val="21"/>
                <w:szCs w:val="21"/>
                <w:lang w:val="en-US" w:eastAsia="zh-CN"/>
              </w:rPr>
              <w:t>0</w:t>
            </w:r>
          </w:p>
        </w:tc>
      </w:tr>
    </w:tbl>
    <w:p>
      <w:pPr>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四、政府信息公开行政复议、行政诉讼情况</w:t>
      </w:r>
    </w:p>
    <w:tbl>
      <w:tblPr>
        <w:tblStyle w:val="6"/>
        <w:tblW w:w="936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35"/>
        <w:gridCol w:w="540"/>
        <w:gridCol w:w="649"/>
        <w:gridCol w:w="649"/>
        <w:gridCol w:w="650"/>
        <w:gridCol w:w="650"/>
        <w:gridCol w:w="576"/>
        <w:gridCol w:w="650"/>
        <w:gridCol w:w="650"/>
        <w:gridCol w:w="650"/>
        <w:gridCol w:w="650"/>
        <w:gridCol w:w="47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2"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行政复议</w:t>
            </w:r>
          </w:p>
        </w:tc>
        <w:tc>
          <w:tcPr>
            <w:tcW w:w="6246"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结果维持</w:t>
            </w:r>
          </w:p>
        </w:tc>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结果</w:t>
            </w:r>
            <w:r>
              <w:rPr>
                <w:rFonts w:hint="eastAsia"/>
                <w:kern w:val="0"/>
                <w:sz w:val="21"/>
                <w:szCs w:val="21"/>
              </w:rPr>
              <w:br w:type="textWrapping"/>
            </w:r>
            <w:r>
              <w:rPr>
                <w:rFonts w:hint="eastAsia"/>
                <w:kern w:val="0"/>
                <w:sz w:val="21"/>
                <w:szCs w:val="21"/>
              </w:rPr>
              <w:t>纠正</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其他</w:t>
            </w:r>
            <w:r>
              <w:rPr>
                <w:rFonts w:hint="eastAsia"/>
                <w:kern w:val="0"/>
                <w:sz w:val="21"/>
                <w:szCs w:val="21"/>
              </w:rPr>
              <w:br w:type="textWrapping"/>
            </w:r>
            <w:r>
              <w:rPr>
                <w:rFonts w:hint="eastAsia"/>
                <w:kern w:val="0"/>
                <w:sz w:val="21"/>
                <w:szCs w:val="21"/>
              </w:rPr>
              <w:t>结果</w:t>
            </w:r>
          </w:p>
        </w:tc>
        <w:tc>
          <w:tcPr>
            <w:tcW w:w="635"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尚未</w:t>
            </w:r>
            <w:r>
              <w:rPr>
                <w:rFonts w:hint="eastAsia"/>
                <w:kern w:val="0"/>
                <w:sz w:val="21"/>
                <w:szCs w:val="21"/>
              </w:rPr>
              <w:br w:type="textWrapping"/>
            </w:r>
            <w:r>
              <w:rPr>
                <w:rFonts w:hint="eastAsia"/>
                <w:kern w:val="0"/>
                <w:sz w:val="21"/>
                <w:szCs w:val="21"/>
              </w:rPr>
              <w:t>审结</w:t>
            </w:r>
          </w:p>
        </w:tc>
        <w:tc>
          <w:tcPr>
            <w:tcW w:w="540"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总计</w:t>
            </w:r>
          </w:p>
        </w:tc>
        <w:tc>
          <w:tcPr>
            <w:tcW w:w="3174"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未经复议直接起诉</w:t>
            </w:r>
          </w:p>
        </w:tc>
        <w:tc>
          <w:tcPr>
            <w:tcW w:w="3072"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kern w:val="0"/>
                <w:sz w:val="21"/>
                <w:szCs w:val="21"/>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kern w:val="0"/>
                <w:sz w:val="21"/>
                <w:szCs w:val="21"/>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kern w:val="0"/>
                <w:sz w:val="21"/>
                <w:szCs w:val="21"/>
              </w:rPr>
            </w:pPr>
          </w:p>
        </w:tc>
        <w:tc>
          <w:tcPr>
            <w:tcW w:w="635"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kern w:val="0"/>
                <w:sz w:val="21"/>
                <w:szCs w:val="21"/>
              </w:rPr>
            </w:pPr>
          </w:p>
        </w:tc>
        <w:tc>
          <w:tcPr>
            <w:tcW w:w="540"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kern w:val="0"/>
                <w:sz w:val="21"/>
                <w:szCs w:val="21"/>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结果</w:t>
            </w:r>
            <w:r>
              <w:rPr>
                <w:rFonts w:hint="eastAsia"/>
                <w:kern w:val="0"/>
                <w:sz w:val="21"/>
                <w:szCs w:val="21"/>
              </w:rPr>
              <w:br w:type="textWrapping"/>
            </w:r>
            <w:r>
              <w:rPr>
                <w:rFonts w:hint="eastAsia"/>
                <w:kern w:val="0"/>
                <w:sz w:val="21"/>
                <w:szCs w:val="21"/>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结果</w:t>
            </w:r>
            <w:r>
              <w:rPr>
                <w:rFonts w:hint="eastAsia"/>
                <w:kern w:val="0"/>
                <w:sz w:val="21"/>
                <w:szCs w:val="21"/>
              </w:rPr>
              <w:br w:type="textWrapping"/>
            </w:r>
            <w:r>
              <w:rPr>
                <w:rFonts w:hint="eastAsia"/>
                <w:kern w:val="0"/>
                <w:sz w:val="21"/>
                <w:szCs w:val="21"/>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其他</w:t>
            </w:r>
            <w:r>
              <w:rPr>
                <w:rFonts w:hint="eastAsia"/>
                <w:kern w:val="0"/>
                <w:sz w:val="21"/>
                <w:szCs w:val="21"/>
              </w:rPr>
              <w:br w:type="textWrapping"/>
            </w:r>
            <w:r>
              <w:rPr>
                <w:rFonts w:hint="eastAsia"/>
                <w:kern w:val="0"/>
                <w:sz w:val="21"/>
                <w:szCs w:val="21"/>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尚未</w:t>
            </w:r>
            <w:r>
              <w:rPr>
                <w:rFonts w:hint="eastAsia"/>
                <w:kern w:val="0"/>
                <w:sz w:val="21"/>
                <w:szCs w:val="21"/>
              </w:rPr>
              <w:br w:type="textWrapping"/>
            </w:r>
            <w:r>
              <w:rPr>
                <w:rFonts w:hint="eastAsia"/>
                <w:kern w:val="0"/>
                <w:sz w:val="21"/>
                <w:szCs w:val="21"/>
              </w:rPr>
              <w:t>审结</w:t>
            </w:r>
          </w:p>
        </w:tc>
        <w:tc>
          <w:tcPr>
            <w:tcW w:w="576"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总计</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结果</w:t>
            </w:r>
            <w:r>
              <w:rPr>
                <w:rFonts w:hint="eastAsia"/>
                <w:kern w:val="0"/>
                <w:sz w:val="21"/>
                <w:szCs w:val="21"/>
              </w:rPr>
              <w:br w:type="textWrapping"/>
            </w:r>
            <w:r>
              <w:rPr>
                <w:rFonts w:hint="eastAsia"/>
                <w:kern w:val="0"/>
                <w:sz w:val="21"/>
                <w:szCs w:val="21"/>
              </w:rPr>
              <w:t>维持</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结果</w:t>
            </w:r>
            <w:r>
              <w:rPr>
                <w:rFonts w:hint="eastAsia"/>
                <w:kern w:val="0"/>
                <w:sz w:val="21"/>
                <w:szCs w:val="21"/>
              </w:rPr>
              <w:br w:type="textWrapping"/>
            </w:r>
            <w:r>
              <w:rPr>
                <w:rFonts w:hint="eastAsia"/>
                <w:kern w:val="0"/>
                <w:sz w:val="21"/>
                <w:szCs w:val="21"/>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其他</w:t>
            </w:r>
            <w:r>
              <w:rPr>
                <w:rFonts w:hint="eastAsia"/>
                <w:kern w:val="0"/>
                <w:sz w:val="21"/>
                <w:szCs w:val="21"/>
              </w:rPr>
              <w:br w:type="textWrapping"/>
            </w:r>
            <w:r>
              <w:rPr>
                <w:rFonts w:hint="eastAsia"/>
                <w:kern w:val="0"/>
                <w:sz w:val="21"/>
                <w:szCs w:val="21"/>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尚未</w:t>
            </w:r>
            <w:r>
              <w:rPr>
                <w:rFonts w:hint="eastAsia"/>
                <w:kern w:val="0"/>
                <w:sz w:val="21"/>
                <w:szCs w:val="21"/>
              </w:rPr>
              <w:br w:type="textWrapping"/>
            </w:r>
            <w:r>
              <w:rPr>
                <w:rFonts w:hint="eastAsia"/>
                <w:kern w:val="0"/>
                <w:sz w:val="21"/>
                <w:szCs w:val="21"/>
              </w:rPr>
              <w:t>审结</w:t>
            </w:r>
          </w:p>
        </w:tc>
        <w:tc>
          <w:tcPr>
            <w:tcW w:w="47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kern w:val="0"/>
                <w:sz w:val="21"/>
                <w:szCs w:val="21"/>
                <w:lang w:val="en-US" w:eastAsia="zh-CN"/>
              </w:rPr>
            </w:pPr>
            <w:r>
              <w:rPr>
                <w:kern w:val="0"/>
                <w:sz w:val="21"/>
                <w:szCs w:val="21"/>
              </w:rPr>
              <w:t> </w:t>
            </w:r>
            <w:r>
              <w:rPr>
                <w:rFonts w:hint="eastAsia"/>
                <w:kern w:val="0"/>
                <w:sz w:val="21"/>
                <w:szCs w:val="21"/>
                <w:lang w:val="en-US" w:eastAsia="zh-CN"/>
              </w:rPr>
              <w:t>1</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kern w:val="0"/>
                <w:sz w:val="21"/>
                <w:szCs w:val="21"/>
                <w:lang w:val="en-US" w:eastAsia="zh-CN"/>
              </w:rPr>
            </w:pPr>
            <w:r>
              <w:rPr>
                <w:rFonts w:hint="eastAsia"/>
                <w:kern w:val="0"/>
                <w:sz w:val="21"/>
                <w:szCs w:val="21"/>
              </w:rPr>
              <w:t> </w:t>
            </w:r>
            <w:r>
              <w:rPr>
                <w:rFonts w:hint="eastAsia"/>
                <w:kern w:val="0"/>
                <w:sz w:val="21"/>
                <w:szCs w:val="21"/>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kern w:val="0"/>
                <w:sz w:val="21"/>
                <w:szCs w:val="21"/>
                <w:lang w:val="en-US" w:eastAsia="zh-CN"/>
              </w:rPr>
            </w:pPr>
            <w:r>
              <w:rPr>
                <w:rFonts w:hint="eastAsia"/>
                <w:kern w:val="0"/>
                <w:sz w:val="21"/>
                <w:szCs w:val="21"/>
              </w:rPr>
              <w:t> </w:t>
            </w:r>
            <w:r>
              <w:rPr>
                <w:rFonts w:hint="eastAsia"/>
                <w:kern w:val="0"/>
                <w:sz w:val="21"/>
                <w:szCs w:val="21"/>
                <w:lang w:val="en-US" w:eastAsia="zh-CN"/>
              </w:rPr>
              <w:t>0</w:t>
            </w:r>
          </w:p>
        </w:tc>
        <w:tc>
          <w:tcPr>
            <w:tcW w:w="635"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kern w:val="0"/>
                <w:sz w:val="21"/>
                <w:szCs w:val="21"/>
                <w:lang w:val="en-US" w:eastAsia="zh-CN"/>
              </w:rPr>
            </w:pPr>
            <w:r>
              <w:rPr>
                <w:rFonts w:hint="eastAsia"/>
                <w:kern w:val="0"/>
                <w:sz w:val="21"/>
                <w:szCs w:val="21"/>
              </w:rPr>
              <w:t> </w:t>
            </w:r>
            <w:r>
              <w:rPr>
                <w:rFonts w:hint="eastAsia"/>
                <w:kern w:val="0"/>
                <w:sz w:val="21"/>
                <w:szCs w:val="21"/>
                <w:lang w:val="en-US" w:eastAsia="zh-CN"/>
              </w:rPr>
              <w:t>0</w:t>
            </w:r>
          </w:p>
        </w:tc>
        <w:tc>
          <w:tcPr>
            <w:tcW w:w="540"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lang w:val="en-US" w:eastAsia="zh-CN"/>
              </w:rPr>
              <w:t>1</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kern w:val="0"/>
                <w:sz w:val="21"/>
                <w:szCs w:val="21"/>
                <w:lang w:val="en-US" w:eastAsia="zh-CN"/>
              </w:rPr>
            </w:pPr>
            <w:r>
              <w:rPr>
                <w:rFonts w:hint="eastAsia"/>
                <w:kern w:val="0"/>
                <w:sz w:val="21"/>
                <w:szCs w:val="21"/>
              </w:rPr>
              <w:t> </w:t>
            </w:r>
            <w:r>
              <w:rPr>
                <w:rFonts w:hint="eastAsia"/>
                <w:kern w:val="0"/>
                <w:sz w:val="21"/>
                <w:szCs w:val="21"/>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lang w:val="en-US" w:eastAsia="zh-CN"/>
              </w:rPr>
              <w:t>0</w:t>
            </w:r>
            <w:r>
              <w:rPr>
                <w:rFonts w:hint="eastAsia"/>
                <w:kern w:val="0"/>
                <w:sz w:val="21"/>
                <w:szCs w:val="21"/>
              </w:rPr>
              <w:t> </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kern w:val="0"/>
                <w:sz w:val="21"/>
                <w:szCs w:val="21"/>
                <w:lang w:val="en-US" w:eastAsia="zh-CN"/>
              </w:rPr>
            </w:pPr>
            <w:r>
              <w:rPr>
                <w:rFonts w:hint="eastAsia"/>
                <w:kern w:val="0"/>
                <w:sz w:val="21"/>
                <w:szCs w:val="21"/>
              </w:rPr>
              <w:t> </w:t>
            </w:r>
            <w:r>
              <w:rPr>
                <w:rFonts w:hint="eastAsia"/>
                <w:kern w:val="0"/>
                <w:sz w:val="21"/>
                <w:szCs w:val="21"/>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lang w:val="en-US" w:eastAsia="zh-CN"/>
              </w:rPr>
              <w:t>0</w:t>
            </w:r>
            <w:r>
              <w:rPr>
                <w:rFonts w:hint="eastAsia"/>
                <w:kern w:val="0"/>
                <w:sz w:val="21"/>
                <w:szCs w:val="21"/>
              </w:rPr>
              <w:t> </w:t>
            </w:r>
          </w:p>
        </w:tc>
        <w:tc>
          <w:tcPr>
            <w:tcW w:w="576"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lang w:val="en-US" w:eastAsia="zh-CN"/>
              </w:rPr>
              <w:t>0</w:t>
            </w:r>
            <w:r>
              <w:rPr>
                <w:rFonts w:hint="eastAsia"/>
                <w:kern w:val="0"/>
                <w:sz w:val="21"/>
                <w:szCs w:val="21"/>
              </w:rPr>
              <w:t> </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kern w:val="0"/>
                <w:sz w:val="21"/>
                <w:szCs w:val="21"/>
                <w:lang w:val="en-US" w:eastAsia="zh-CN"/>
              </w:rPr>
            </w:pPr>
            <w:r>
              <w:rPr>
                <w:rFonts w:hint="eastAsia"/>
                <w:kern w:val="0"/>
                <w:sz w:val="21"/>
                <w:szCs w:val="21"/>
              </w:rPr>
              <w:t> </w:t>
            </w:r>
            <w:r>
              <w:rPr>
                <w:rFonts w:hint="eastAsia"/>
                <w:kern w:val="0"/>
                <w:sz w:val="21"/>
                <w:szCs w:val="21"/>
                <w:lang w:val="en-US" w:eastAsia="zh-CN"/>
              </w:rPr>
              <w:t>1</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kern w:val="0"/>
                <w:sz w:val="21"/>
                <w:szCs w:val="21"/>
                <w:lang w:val="en-US" w:eastAsia="zh-CN"/>
              </w:rPr>
            </w:pPr>
            <w:r>
              <w:rPr>
                <w:rFonts w:hint="eastAsia"/>
                <w:kern w:val="0"/>
                <w:sz w:val="21"/>
                <w:szCs w:val="21"/>
              </w:rPr>
              <w:t> </w:t>
            </w:r>
            <w:r>
              <w:rPr>
                <w:rFonts w:hint="eastAsia"/>
                <w:kern w:val="0"/>
                <w:sz w:val="21"/>
                <w:szCs w:val="21"/>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lang w:val="en-US" w:eastAsia="zh-CN"/>
              </w:rPr>
              <w:t>0</w:t>
            </w:r>
            <w:r>
              <w:rPr>
                <w:rFonts w:hint="eastAsia"/>
                <w:kern w:val="0"/>
                <w:sz w:val="21"/>
                <w:szCs w:val="21"/>
              </w:rPr>
              <w:t> </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lang w:val="en-US" w:eastAsia="zh-CN"/>
              </w:rPr>
              <w:t>0</w:t>
            </w:r>
            <w:r>
              <w:rPr>
                <w:rFonts w:hint="eastAsia"/>
                <w:kern w:val="0"/>
                <w:sz w:val="21"/>
                <w:szCs w:val="21"/>
              </w:rPr>
              <w:t> </w:t>
            </w:r>
          </w:p>
        </w:tc>
        <w:tc>
          <w:tcPr>
            <w:tcW w:w="472"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kern w:val="0"/>
                <w:sz w:val="21"/>
                <w:szCs w:val="21"/>
                <w:lang w:val="en-US" w:eastAsia="zh-CN"/>
              </w:rPr>
            </w:pPr>
            <w:r>
              <w:rPr>
                <w:rFonts w:hint="eastAsia"/>
                <w:kern w:val="0"/>
                <w:sz w:val="21"/>
                <w:szCs w:val="21"/>
                <w:lang w:val="en-US" w:eastAsia="zh-CN"/>
              </w:rPr>
              <w:t>1</w:t>
            </w:r>
          </w:p>
        </w:tc>
      </w:tr>
    </w:tbl>
    <w:p>
      <w:pPr>
        <w:keepNext w:val="0"/>
        <w:keepLines w:val="0"/>
        <w:pageBreakBefore w:val="0"/>
        <w:widowControl/>
        <w:kinsoku/>
        <w:wordWrap/>
        <w:overflowPunct/>
        <w:topLinePunct w:val="0"/>
        <w:autoSpaceDE/>
        <w:autoSpaceDN/>
        <w:bidi w:val="0"/>
        <w:adjustRightInd/>
        <w:snapToGrid/>
        <w:spacing w:line="400" w:lineRule="exact"/>
        <w:ind w:firstLine="632"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五、存在的主要问题及改进情况</w:t>
      </w:r>
    </w:p>
    <w:p>
      <w:pPr>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2021年，我街道虽在</w:t>
      </w:r>
      <w:r>
        <w:rPr>
          <w:rFonts w:hint="eastAsia" w:ascii="仿宋_GB2312" w:hAnsi="仿宋_GB2312" w:cs="仿宋_GB2312"/>
          <w:kern w:val="0"/>
          <w:sz w:val="32"/>
          <w:szCs w:val="32"/>
          <w:lang w:val="en-US" w:eastAsia="zh-CN"/>
        </w:rPr>
        <w:t>政府信息公开上做了一些工作</w:t>
      </w:r>
      <w:r>
        <w:rPr>
          <w:rFonts w:hint="eastAsia" w:ascii="仿宋_GB2312" w:hAnsi="仿宋_GB2312" w:eastAsia="仿宋_GB2312" w:cs="仿宋_GB2312"/>
          <w:kern w:val="0"/>
          <w:sz w:val="32"/>
          <w:szCs w:val="32"/>
          <w:lang w:val="en-US" w:eastAsia="zh-CN"/>
        </w:rPr>
        <w:t>，但</w:t>
      </w:r>
      <w:r>
        <w:rPr>
          <w:rFonts w:hint="eastAsia" w:ascii="仿宋_GB2312" w:hAnsi="仿宋_GB2312" w:cs="仿宋_GB2312"/>
          <w:kern w:val="0"/>
          <w:sz w:val="32"/>
          <w:szCs w:val="32"/>
          <w:lang w:val="en-US" w:eastAsia="zh-CN"/>
        </w:rPr>
        <w:t>还存在着</w:t>
      </w:r>
      <w:r>
        <w:rPr>
          <w:rFonts w:hint="eastAsia" w:ascii="仿宋_GB2312" w:hAnsi="仿宋_GB2312" w:eastAsia="仿宋_GB2312" w:cs="仿宋_GB2312"/>
          <w:kern w:val="0"/>
          <w:sz w:val="32"/>
          <w:szCs w:val="32"/>
          <w:lang w:val="en-US" w:eastAsia="zh-CN"/>
        </w:rPr>
        <w:t>信息公开的时效性、全面性等方面</w:t>
      </w:r>
      <w:r>
        <w:rPr>
          <w:rFonts w:hint="eastAsia" w:ascii="仿宋_GB2312" w:hAnsi="仿宋_GB2312" w:cs="仿宋_GB2312"/>
          <w:kern w:val="0"/>
          <w:sz w:val="32"/>
          <w:szCs w:val="32"/>
          <w:lang w:val="en-US" w:eastAsia="zh-CN"/>
        </w:rPr>
        <w:t>有待进一步提升，重点领域信息公开力度还不够大，公开的形式还不够丰富等问题</w:t>
      </w:r>
      <w:r>
        <w:rPr>
          <w:rFonts w:hint="eastAsia" w:ascii="仿宋_GB2312" w:hAnsi="仿宋_GB2312" w:eastAsia="仿宋_GB2312" w:cs="仿宋_GB2312"/>
          <w:kern w:val="0"/>
          <w:sz w:val="32"/>
          <w:szCs w:val="32"/>
          <w:lang w:val="en-US" w:eastAsia="zh-CN"/>
        </w:rPr>
        <w:t>。下一步我街道将按照要求不断改进和提高，重点抓好以下</w:t>
      </w:r>
      <w:r>
        <w:rPr>
          <w:rFonts w:hint="eastAsia" w:ascii="仿宋_GB2312" w:hAnsi="仿宋_GB2312" w:cs="仿宋_GB2312"/>
          <w:kern w:val="0"/>
          <w:sz w:val="32"/>
          <w:szCs w:val="32"/>
          <w:lang w:val="en-US" w:eastAsia="zh-CN"/>
        </w:rPr>
        <w:t>三方面</w:t>
      </w:r>
      <w:r>
        <w:rPr>
          <w:rFonts w:hint="eastAsia" w:ascii="仿宋_GB2312" w:hAnsi="仿宋_GB2312" w:eastAsia="仿宋_GB2312" w:cs="仿宋_GB2312"/>
          <w:kern w:val="0"/>
          <w:sz w:val="32"/>
          <w:szCs w:val="32"/>
          <w:lang w:val="en-US" w:eastAsia="zh-CN"/>
        </w:rPr>
        <w:t>工作：</w:t>
      </w:r>
    </w:p>
    <w:p>
      <w:pPr>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一是要在信息公开的宽度和深度上下功夫，不断提高主动公开政府信息的质量</w:t>
      </w:r>
      <w:r>
        <w:rPr>
          <w:rFonts w:hint="eastAsia" w:ascii="仿宋_GB2312" w:hAnsi="仿宋_GB2312" w:cs="仿宋_GB2312"/>
          <w:kern w:val="0"/>
          <w:sz w:val="32"/>
          <w:szCs w:val="32"/>
          <w:lang w:val="en-US" w:eastAsia="zh-CN"/>
        </w:rPr>
        <w:t>，进一步</w:t>
      </w:r>
      <w:r>
        <w:rPr>
          <w:rFonts w:hint="eastAsia" w:ascii="仿宋_GB2312" w:hAnsi="仿宋_GB2312" w:eastAsia="仿宋_GB2312" w:cs="仿宋_GB2312"/>
          <w:kern w:val="0"/>
          <w:sz w:val="32"/>
          <w:szCs w:val="32"/>
          <w:lang w:val="en-US" w:eastAsia="zh-CN"/>
        </w:rPr>
        <w:t>强化信息</w:t>
      </w:r>
      <w:r>
        <w:rPr>
          <w:rFonts w:hint="eastAsia" w:ascii="仿宋_GB2312" w:hAnsi="仿宋_GB2312" w:cs="仿宋_GB2312"/>
          <w:kern w:val="0"/>
          <w:sz w:val="32"/>
          <w:szCs w:val="32"/>
          <w:lang w:val="en-US" w:eastAsia="zh-CN"/>
        </w:rPr>
        <w:t>公开的</w:t>
      </w:r>
      <w:r>
        <w:rPr>
          <w:rFonts w:hint="eastAsia" w:ascii="仿宋_GB2312" w:hAnsi="仿宋_GB2312" w:eastAsia="仿宋_GB2312" w:cs="仿宋_GB2312"/>
          <w:kern w:val="0"/>
          <w:sz w:val="32"/>
          <w:szCs w:val="32"/>
          <w:lang w:val="en-US" w:eastAsia="zh-CN"/>
        </w:rPr>
        <w:t>时效性和规范</w:t>
      </w:r>
      <w:r>
        <w:rPr>
          <w:rFonts w:hint="eastAsia" w:ascii="仿宋_GB2312" w:hAnsi="仿宋_GB2312" w:cs="仿宋_GB2312"/>
          <w:kern w:val="0"/>
          <w:sz w:val="32"/>
          <w:szCs w:val="32"/>
          <w:lang w:val="en-US" w:eastAsia="zh-CN"/>
        </w:rPr>
        <w:t>性。</w:t>
      </w:r>
      <w:r>
        <w:rPr>
          <w:rFonts w:hint="eastAsia" w:ascii="仿宋_GB2312" w:hAnsi="仿宋_GB2312" w:eastAsia="仿宋_GB2312" w:cs="仿宋_GB2312"/>
          <w:kern w:val="0"/>
          <w:sz w:val="32"/>
          <w:szCs w:val="32"/>
          <w:lang w:val="en-US" w:eastAsia="zh-CN"/>
        </w:rPr>
        <w:t>二是切实发挥好信息公开平台的桥梁作用，</w:t>
      </w:r>
      <w:r>
        <w:rPr>
          <w:rFonts w:hint="eastAsia" w:ascii="仿宋_GB2312" w:hAnsi="仿宋_GB2312" w:cs="仿宋_GB2312"/>
          <w:kern w:val="0"/>
          <w:sz w:val="32"/>
          <w:szCs w:val="32"/>
          <w:lang w:val="en-US" w:eastAsia="zh-CN"/>
        </w:rPr>
        <w:t>进一步拓展公开渠道，</w:t>
      </w:r>
      <w:r>
        <w:rPr>
          <w:rFonts w:hint="eastAsia" w:ascii="仿宋_GB2312" w:hAnsi="仿宋_GB2312" w:eastAsia="仿宋_GB2312" w:cs="仿宋_GB2312"/>
          <w:kern w:val="0"/>
          <w:sz w:val="32"/>
          <w:szCs w:val="32"/>
          <w:lang w:val="en-US" w:eastAsia="zh-CN"/>
        </w:rPr>
        <w:t>使社会公众能更方便、及时地获取</w:t>
      </w:r>
      <w:r>
        <w:rPr>
          <w:rFonts w:hint="eastAsia" w:ascii="仿宋_GB2312" w:hAnsi="仿宋_GB2312" w:cs="仿宋_GB2312"/>
          <w:kern w:val="0"/>
          <w:sz w:val="32"/>
          <w:szCs w:val="32"/>
          <w:lang w:val="en-US" w:eastAsia="zh-CN"/>
        </w:rPr>
        <w:t>街道相关</w:t>
      </w:r>
      <w:r>
        <w:rPr>
          <w:rFonts w:hint="eastAsia" w:ascii="仿宋_GB2312" w:hAnsi="仿宋_GB2312" w:eastAsia="仿宋_GB2312" w:cs="仿宋_GB2312"/>
          <w:kern w:val="0"/>
          <w:sz w:val="32"/>
          <w:szCs w:val="32"/>
          <w:lang w:val="en-US" w:eastAsia="zh-CN"/>
        </w:rPr>
        <w:t>政府信息。</w:t>
      </w:r>
      <w:r>
        <w:rPr>
          <w:rFonts w:hint="eastAsia" w:ascii="仿宋_GB2312" w:hAnsi="仿宋_GB2312" w:cs="仿宋_GB2312"/>
          <w:kern w:val="0"/>
          <w:sz w:val="32"/>
          <w:szCs w:val="32"/>
          <w:lang w:val="en-US" w:eastAsia="zh-CN"/>
        </w:rPr>
        <w:t>三是要持续规范做好政府信息依申请公开工作。</w:t>
      </w:r>
    </w:p>
    <w:p>
      <w:pPr>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六、其他需要报告的事项</w:t>
      </w:r>
    </w:p>
    <w:p>
      <w:pPr>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根据国务院办公厅印发的《政府信息公开信息处理费管理办法》和浙江省政府办公厅、宁波市政府办公厅关于政府信息公开信息处理费收取工作的有关规定，报告年度内本机关受理的26件政府信息公开申请均不属于超出合理数量或频次范围，故未向任何申请人收取信息处理费</w:t>
      </w:r>
      <w:r>
        <w:rPr>
          <w:rFonts w:hint="eastAsia" w:ascii="仿宋_GB2312" w:hAnsi="仿宋_GB2312" w:cs="仿宋_GB2312"/>
          <w:kern w:val="0"/>
          <w:sz w:val="32"/>
          <w:szCs w:val="32"/>
          <w:lang w:val="en-US" w:eastAsia="zh-CN"/>
        </w:rPr>
        <w:t>。</w:t>
      </w:r>
      <w:r>
        <w:rPr>
          <w:rFonts w:hint="eastAsia" w:ascii="仿宋_GB2312" w:hAnsi="仿宋_GB2312" w:eastAsia="仿宋_GB2312" w:cs="仿宋_GB2312"/>
          <w:kern w:val="0"/>
          <w:sz w:val="32"/>
          <w:szCs w:val="32"/>
          <w:lang w:val="en-US" w:eastAsia="zh-CN"/>
        </w:rPr>
        <w:t>后续</w:t>
      </w:r>
      <w:r>
        <w:rPr>
          <w:rFonts w:hint="eastAsia" w:ascii="仿宋_GB2312" w:hAnsi="仿宋_GB2312" w:cs="仿宋_GB2312"/>
          <w:kern w:val="0"/>
          <w:sz w:val="32"/>
          <w:szCs w:val="32"/>
          <w:lang w:val="en-US" w:eastAsia="zh-CN"/>
        </w:rPr>
        <w:t>也</w:t>
      </w:r>
      <w:r>
        <w:rPr>
          <w:rFonts w:hint="eastAsia" w:ascii="仿宋_GB2312" w:hAnsi="仿宋_GB2312" w:eastAsia="仿宋_GB2312" w:cs="仿宋_GB2312"/>
          <w:kern w:val="0"/>
          <w:sz w:val="32"/>
          <w:szCs w:val="32"/>
          <w:lang w:val="en-US" w:eastAsia="zh-CN"/>
        </w:rPr>
        <w:t>将严格执行相关收费管理规定，依法保障公众知情权，维护政府信息公开工作秩序。</w:t>
      </w:r>
    </w:p>
    <w:p/>
    <w:sectPr>
      <w:footerReference r:id="rId3" w:type="default"/>
      <w:footerReference r:id="rId4" w:type="even"/>
      <w:pgSz w:w="11906" w:h="16838"/>
      <w:pgMar w:top="1701" w:right="1474" w:bottom="1134" w:left="1588" w:header="851" w:footer="992" w:gutter="0"/>
      <w:cols w:space="720" w:num="1"/>
      <w:titlePg/>
      <w:docGrid w:type="linesAndChars" w:linePitch="636"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4</w:t>
    </w:r>
    <w:r>
      <w:rPr>
        <w:rStyle w:val="8"/>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8C1B2E"/>
    <w:rsid w:val="008F2865"/>
    <w:rsid w:val="02D9760E"/>
    <w:rsid w:val="12D95B07"/>
    <w:rsid w:val="134B2A94"/>
    <w:rsid w:val="16621A8C"/>
    <w:rsid w:val="31952CD0"/>
    <w:rsid w:val="3AC553C7"/>
    <w:rsid w:val="40AD00F2"/>
    <w:rsid w:val="42DB5479"/>
    <w:rsid w:val="4C2624DD"/>
    <w:rsid w:val="590F2047"/>
    <w:rsid w:val="5C336C02"/>
    <w:rsid w:val="60162411"/>
    <w:rsid w:val="6AF91362"/>
    <w:rsid w:val="708C1B2E"/>
    <w:rsid w:val="7C166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仿宋_GB2312" w:cs="Times New Roman"/>
      <w:kern w:val="2"/>
      <w:sz w:val="32"/>
      <w:szCs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spacing w:after="0" w:line="300" w:lineRule="auto"/>
      <w:ind w:left="0" w:leftChars="0"/>
    </w:pPr>
    <w:rPr>
      <w:rFonts w:hint="default" w:ascii="Calibri" w:hAnsi="Calibri"/>
      <w:i/>
      <w:sz w:val="21"/>
    </w:rPr>
  </w:style>
  <w:style w:type="paragraph" w:styleId="3">
    <w:name w:val="Body Text Indent"/>
    <w:basedOn w:val="1"/>
    <w:next w:val="4"/>
    <w:unhideWhenUsed/>
    <w:qFormat/>
    <w:uiPriority w:val="99"/>
    <w:pPr>
      <w:spacing w:after="120"/>
      <w:ind w:left="420" w:leftChars="200"/>
    </w:pPr>
    <w:rPr>
      <w:rFonts w:hint="default"/>
      <w:sz w:val="21"/>
    </w:rPr>
  </w:style>
  <w:style w:type="paragraph" w:styleId="4">
    <w:name w:val="Normal Indent"/>
    <w:basedOn w:val="1"/>
    <w:qFormat/>
    <w:uiPriority w:val="0"/>
    <w:pPr>
      <w:ind w:firstLine="420" w:firstLineChars="200"/>
    </w:pPr>
    <w:rPr>
      <w:rFonts w:eastAsia="仿宋"/>
    </w:rPr>
  </w:style>
  <w:style w:type="paragraph" w:styleId="5">
    <w:name w:val="footer"/>
    <w:basedOn w:val="1"/>
    <w:qFormat/>
    <w:uiPriority w:val="0"/>
    <w:pPr>
      <w:tabs>
        <w:tab w:val="center" w:pos="4153"/>
        <w:tab w:val="right" w:pos="8306"/>
      </w:tabs>
      <w:snapToGrid w:val="0"/>
      <w:jc w:val="left"/>
    </w:pPr>
    <w:rPr>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2022-01-06T01:11:00Z</dcterms:created>
  <dc:creator>Administrator</dc:creator>
  <cp:lastModifiedBy>Administrator</cp:lastModifiedBy>
  <dcterms:modified xsi:type="dcterms:W3CDTF">2022-01-13T02:32:14Z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