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宁波市生态环境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镇海分局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年度政府信息公开工作报告</w:t>
      </w:r>
    </w:p>
    <w:p>
      <w:pPr>
        <w:pStyle w:val="5"/>
        <w:spacing w:line="240" w:lineRule="exact"/>
        <w:ind w:firstLine="42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5"/>
        <w:spacing w:line="240" w:lineRule="exact"/>
        <w:ind w:firstLine="420"/>
        <w:jc w:val="both"/>
        <w:rPr>
          <w:bCs/>
          <w:sz w:val="21"/>
          <w:szCs w:val="21"/>
        </w:rPr>
      </w:pPr>
    </w:p>
    <w:p>
      <w:pPr>
        <w:pStyle w:val="5"/>
        <w:spacing w:line="240" w:lineRule="exact"/>
        <w:ind w:firstLine="420"/>
        <w:jc w:val="left"/>
        <w:rPr>
          <w:rFonts w:hint="eastAsia" w:ascii="仿宋_GB2312" w:hAnsi="仿宋_GB2312" w:eastAsia="仿宋_GB2312" w:cs="仿宋_GB2312"/>
          <w:bCs/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宁波市生态环境局镇海分局认真贯彻落实《政府信息公开条例》，充分利用各类信息载体，着力提高内容质量、丰富呈现形式，进一步增强政府信息公开工作的规范性和针对性，为提升公众生态环境知晓度、满意度和获得感奠定了坚实基础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主动公开政府信息</w:t>
      </w:r>
      <w:r>
        <w:rPr>
          <w:rFonts w:hint="eastAsia" w:cs="Times New Roman"/>
          <w:szCs w:val="32"/>
          <w:lang w:val="en-US" w:eastAsia="zh-CN"/>
        </w:rPr>
        <w:t>930</w:t>
      </w:r>
      <w:r>
        <w:rPr>
          <w:rFonts w:hint="eastAsia" w:ascii="Times New Roman" w:hAnsi="Times New Roman" w:cs="Times New Roman"/>
          <w:szCs w:val="32"/>
          <w:lang w:eastAsia="zh-CN"/>
        </w:rPr>
        <w:t>条，其中</w:t>
      </w:r>
      <w:r>
        <w:rPr>
          <w:rFonts w:hint="eastAsia" w:ascii="Times New Roman" w:hAnsi="Times New Roman" w:cs="Times New Roman"/>
          <w:szCs w:val="32"/>
          <w:lang w:val="en-US" w:eastAsia="zh-CN"/>
        </w:rPr>
        <w:t>政府网站公开</w:t>
      </w:r>
      <w:r>
        <w:rPr>
          <w:rFonts w:hint="eastAsia" w:cs="Times New Roman"/>
          <w:szCs w:val="32"/>
          <w:lang w:val="en-US" w:eastAsia="zh-CN"/>
        </w:rPr>
        <w:t>191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条，政务微博、微信公开</w:t>
      </w:r>
      <w:r>
        <w:rPr>
          <w:rFonts w:hint="eastAsia" w:cs="Times New Roman"/>
          <w:szCs w:val="32"/>
          <w:lang w:val="en-US" w:eastAsia="zh-CN"/>
        </w:rPr>
        <w:t>478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</w:t>
      </w:r>
      <w:r>
        <w:rPr>
          <w:rFonts w:hint="eastAsia" w:cs="Times New Roman"/>
          <w:szCs w:val="32"/>
          <w:lang w:val="en-US" w:eastAsia="zh-CN"/>
        </w:rPr>
        <w:t>，镇灵通镇海号、LED信息公告屏等公开261条；</w:t>
      </w:r>
      <w:r>
        <w:rPr>
          <w:rFonts w:hint="eastAsia" w:ascii="Times New Roman" w:hAnsi="Times New Roman" w:cs="Times New Roman"/>
          <w:szCs w:val="32"/>
          <w:lang w:val="en-US" w:eastAsia="zh-CN"/>
        </w:rPr>
        <w:t>发布政策解读</w:t>
      </w:r>
      <w:r>
        <w:rPr>
          <w:rFonts w:hint="eastAsia" w:cs="Times New Roman"/>
          <w:szCs w:val="32"/>
          <w:lang w:val="en-US" w:eastAsia="zh-CN"/>
        </w:rPr>
        <w:t>7篇</w:t>
      </w:r>
      <w:r>
        <w:rPr>
          <w:rFonts w:hint="eastAsia" w:ascii="Times New Roman" w:hAnsi="Times New Roman" w:cs="Times New Roman"/>
          <w:szCs w:val="32"/>
          <w:lang w:val="en-US" w:eastAsia="zh-CN"/>
        </w:rPr>
        <w:t>；</w:t>
      </w:r>
      <w:r>
        <w:rPr>
          <w:rFonts w:hint="eastAsia" w:cs="Times New Roman"/>
          <w:szCs w:val="32"/>
          <w:lang w:val="en-US" w:eastAsia="zh-CN"/>
        </w:rPr>
        <w:t>通过微博微信</w:t>
      </w:r>
      <w:r>
        <w:rPr>
          <w:rFonts w:hint="eastAsia" w:ascii="Times New Roman" w:hAnsi="Times New Roman" w:cs="Times New Roman"/>
          <w:szCs w:val="32"/>
          <w:lang w:val="en-US" w:eastAsia="zh-CN"/>
        </w:rPr>
        <w:t>回应</w:t>
      </w:r>
      <w:r>
        <w:rPr>
          <w:rFonts w:hint="eastAsia" w:cs="Times New Roman"/>
          <w:szCs w:val="32"/>
          <w:lang w:val="en-US" w:eastAsia="zh-CN"/>
        </w:rPr>
        <w:t>网民咨询投诉12</w:t>
      </w:r>
      <w:r>
        <w:rPr>
          <w:rFonts w:hint="eastAsia" w:ascii="Times New Roman" w:hAnsi="Times New Roman" w:cs="Times New Roman"/>
          <w:szCs w:val="32"/>
          <w:lang w:val="en-US" w:eastAsia="zh-CN"/>
        </w:rPr>
        <w:t>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Cs w:val="32"/>
          <w:lang w:val="en-US" w:eastAsia="zh-CN"/>
        </w:rPr>
      </w:pPr>
      <w:r>
        <w:rPr>
          <w:rFonts w:hint="eastAsia" w:ascii="Times New Roman" w:hAnsi="Times New Roman"/>
          <w:color w:val="auto"/>
          <w:szCs w:val="32"/>
        </w:rPr>
        <w:t>受理依申请公开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 w:ascii="Times New Roman" w:hAnsi="Times New Roman"/>
          <w:color w:val="auto"/>
          <w:szCs w:val="32"/>
        </w:rPr>
        <w:t>件</w:t>
      </w:r>
      <w:r>
        <w:rPr>
          <w:rFonts w:hint="eastAsia"/>
          <w:color w:val="auto"/>
          <w:szCs w:val="32"/>
          <w:lang w:val="en-US" w:eastAsia="zh-CN"/>
        </w:rPr>
        <w:t>（自然人）</w:t>
      </w:r>
      <w:r>
        <w:rPr>
          <w:rFonts w:hint="eastAsia" w:ascii="Times New Roman" w:hAnsi="Times New Roman"/>
          <w:color w:val="auto"/>
          <w:szCs w:val="32"/>
        </w:rPr>
        <w:t>，已办结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 w:ascii="Times New Roman" w:hAnsi="Times New Roman"/>
          <w:color w:val="auto"/>
          <w:szCs w:val="32"/>
        </w:rPr>
        <w:t>件</w:t>
      </w:r>
      <w:r>
        <w:rPr>
          <w:rFonts w:hint="eastAsia" w:ascii="Times New Roman" w:hAnsi="Times New Roman"/>
          <w:color w:val="auto"/>
          <w:szCs w:val="32"/>
          <w:lang w:eastAsia="zh-CN"/>
        </w:rPr>
        <w:t>。从办理结果看，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>1件予以公开</w:t>
      </w:r>
      <w:r>
        <w:rPr>
          <w:rFonts w:hint="eastAsia"/>
          <w:color w:val="auto"/>
          <w:szCs w:val="32"/>
          <w:lang w:val="en-US" w:eastAsia="zh-CN"/>
        </w:rPr>
        <w:t>、2件部分公开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>，</w:t>
      </w:r>
      <w:r>
        <w:rPr>
          <w:rFonts w:hint="eastAsia" w:ascii="Times New Roman" w:hAnsi="Times New Roman"/>
          <w:color w:val="auto"/>
          <w:szCs w:val="32"/>
          <w:lang w:eastAsia="zh-CN"/>
        </w:rPr>
        <w:t>按期书面答复申请人</w:t>
      </w:r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  <w:lang w:val="en-US" w:eastAsia="zh-CN"/>
        </w:rPr>
        <w:t>1件为本机关不掌握相关信息</w:t>
      </w:r>
      <w:r>
        <w:rPr>
          <w:rFonts w:hint="eastAsia" w:ascii="Times New Roman" w:hAnsi="Times New Roman"/>
          <w:color w:val="auto"/>
          <w:szCs w:val="32"/>
          <w:lang w:eastAsia="zh-CN"/>
        </w:rPr>
        <w:t>。无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因政府信息公开引起的行政复议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诉讼。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24" w:firstLineChars="200"/>
        <w:jc w:val="both"/>
        <w:textAlignment w:val="auto"/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强化组织保障，明确分管领导，落实一名专人负责政府信息公开工作。完善信息公开工作网络，通过制定内部信息考核办法，落实科室信息公开职责，确保环境质量、项目审批、行政处罚、污染防治等重要信息得到及时公开。加强信息质量和保密审查，实行信息专人、科室负责人、分管领导三级审核制度，确保信息公开工作安全有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24" w:firstLineChars="200"/>
        <w:jc w:val="both"/>
        <w:textAlignment w:val="auto"/>
        <w:rPr>
          <w:rFonts w:hint="default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  <w:t>围绕生态环境质量、污染防治攻坚、环境监管执法、项目审批服务等公众关心的生态环境领域重点工作，优化政府信息公开网站栏目设置和内容配置，提高政府信息的可辨识度和易获得性。发挥政府信息公开网站、政务新媒体、新闻媒体和手册指南的协同作用，开辟实时空气质量、环保工作动态、服务事项查询等专题，强化政府信息的公共服务功能。利用LED环境信息公告屏和全区公益信息发布平台，在机关、社区、商场、学校、医院等公共场所不间断滚动发布环境质量、环保科普、工作动态等内容，使政府信息更加深入基层、贴近百姓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（五）政务新媒体管理情况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仿宋_GB2312" w:hAnsi="仿宋_GB2312" w:eastAsia="仿宋_GB2312" w:cs="仿宋_GB2312"/>
          <w:snapToGrid w:val="0"/>
          <w:color w:val="auto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根据政务新媒体规律特点精心策划、规范管理、严格审核，着力提高“镇海生态环境”微博、微信公众号和视频号的影响力，形成了每个工作日微博发布5条以上、微信公众号发布2条以上、视频号每月原创发布2条以上的常规。5月份起，按照新媒体整合要求关停上述三个新媒体账号后，信息发布平稳转移至“镇灵通·镇海号”平台，并保持平均每个工作日2条以上发布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（六）监督保障情况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按照政府信息公开工作要求，制定信息公开工作考核办法，对各科室信息供稿情况进行督查，</w:t>
      </w:r>
      <w:r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shd w:val="clear" w:color="auto" w:fill="auto"/>
          <w:lang w:val="en-US" w:eastAsia="zh-CN"/>
        </w:rPr>
        <w:t>对依申请公开信息实行严格审查，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从信息供稿的准确性、及时性、匹配度等方面进行评估，对信息数量不足、质量不高、制作不及时的科室进行通报，提高政府信息公开的主动性、规范性和针对性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shd w:val="clear" w:color="auto" w:fill="auto"/>
          <w:lang w:val="en-US" w:eastAsia="zh-CN"/>
        </w:rPr>
        <w:t>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Spec="center" w:tblpY="8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本单位政府信息公开工作整体质量稳步提高，但因5月份起“镇海生态环境”微博、微信公众号、视频号三个政务新媒体账号关停，而“镇灵通·镇海号”平台受众覆盖面有限，致使信息公开数量和覆盖面受到一定影响。2023年着重从两方面进行拓展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进一步提高信息针对性。针对公众关注的生态领域重点工作和突出问题，着重做好生态环境质量、污染防治攻坚、生态环境监管、建设项目审批等方面信息的采集、编辑、制作，确保政府信息及时、准确、全面向公众公开。</w:t>
      </w:r>
    </w:p>
    <w:p>
      <w:pPr>
        <w:ind w:firstLine="640" w:firstLineChars="20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进一步扩大信息覆盖面。充分发挥政府信息公开网站、浙江政务服务网等传统平台和“镇灵通·镇海号”、全区公益宣传500块LED等特色载体作用，着力扩大政府信息覆盖面，让更多受众方便地获得政府信息并从中受益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本单位未向申请人收取信息处理费。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right="160" w:firstLine="3840" w:firstLineChars="1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宁波市生态环境局镇海分局</w:t>
      </w:r>
    </w:p>
    <w:p>
      <w:pPr>
        <w:ind w:right="16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2023年1月5日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3507"/>
    <w:rsid w:val="03F315D4"/>
    <w:rsid w:val="05030E31"/>
    <w:rsid w:val="05576493"/>
    <w:rsid w:val="07463507"/>
    <w:rsid w:val="0B914B06"/>
    <w:rsid w:val="0BDB22E4"/>
    <w:rsid w:val="0E220739"/>
    <w:rsid w:val="10A155F2"/>
    <w:rsid w:val="13215D9D"/>
    <w:rsid w:val="16FB0589"/>
    <w:rsid w:val="19B601E0"/>
    <w:rsid w:val="1C2911C6"/>
    <w:rsid w:val="1D1E26A5"/>
    <w:rsid w:val="1E8B640F"/>
    <w:rsid w:val="214512DF"/>
    <w:rsid w:val="241D2D95"/>
    <w:rsid w:val="25A6221A"/>
    <w:rsid w:val="25C03463"/>
    <w:rsid w:val="2EDC6B28"/>
    <w:rsid w:val="331B1001"/>
    <w:rsid w:val="340A1DCD"/>
    <w:rsid w:val="37F66CAC"/>
    <w:rsid w:val="45D84019"/>
    <w:rsid w:val="49BF7466"/>
    <w:rsid w:val="4AE50D23"/>
    <w:rsid w:val="5B3F6DB7"/>
    <w:rsid w:val="616421E3"/>
    <w:rsid w:val="62847109"/>
    <w:rsid w:val="65994D53"/>
    <w:rsid w:val="660C68C7"/>
    <w:rsid w:val="69665186"/>
    <w:rsid w:val="6BD52C21"/>
    <w:rsid w:val="6EE7632F"/>
    <w:rsid w:val="713A02DC"/>
    <w:rsid w:val="75D55943"/>
    <w:rsid w:val="76CA2D20"/>
    <w:rsid w:val="7B4061D1"/>
    <w:rsid w:val="7F1D1E10"/>
    <w:rsid w:val="7F8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2021-01-13T00:40:00Z</dcterms:created>
  <dc:creator>尚立峰</dc:creator>
  <cp:lastModifiedBy>尚立峰</cp:lastModifiedBy>
  <cp:lastPrinted>2023-01-03T08:13:40Z</cp:lastPrinted>
  <dcterms:modified xsi:type="dcterms:W3CDTF">2023-01-03T08:17:52Z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