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jc w:val="center"/>
        <w:textAlignment w:val="auto"/>
        <w:rPr>
          <w:rFonts w:hint="eastAsia" w:ascii="方正小标宋简体" w:hAnsi="Times New Roman" w:eastAsia="方正小标宋简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宁波市</w:t>
      </w:r>
      <w:r>
        <w:rPr>
          <w:rFonts w:hint="eastAsia" w:ascii="方正小标宋简体" w:hAnsi="Times New Roman"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镇海区</w:t>
      </w:r>
      <w:r>
        <w:rPr>
          <w:rFonts w:hint="eastAsia" w:ascii="方正小标宋简体" w:hAnsi="Times New Roman" w:eastAsia="方正小标宋简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科学技术局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jc w:val="center"/>
        <w:textAlignment w:val="auto"/>
        <w:rPr>
          <w:rFonts w:ascii="方正小标宋简体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方正小标宋简体" w:hAnsi="Times New Roman"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Times New Roman" w:eastAsia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方正小标宋简体" w:hAnsi="Times New Roman"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年政府信息公开工作年度报告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firstLine="420"/>
        <w:jc w:val="both"/>
        <w:textAlignment w:val="auto"/>
        <w:rPr>
          <w:rFonts w:ascii="Times New Roman" w:hAns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ascii="黑体" w:hAnsi="黑体" w:eastAsia="黑体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年以来，区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科技局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坚持以习近平新时代中国特色社会主义思想为指导，以人民为中心，全面贯彻落实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区委区政府关于政府信息公开工作的部署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，持续深化政府信息公开，不断提升政府工作透明度和公信力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主动公开政务情况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主动公开政府信息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条，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在政府网站公开。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依申请公开信息情况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全年没有收到公民和组织向我局递交的信息公开申请。</w:t>
      </w:r>
      <w:r>
        <w:rPr>
          <w:rFonts w:hint="eastAsia" w:ascii="Times New Roman" w:hAnsi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无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因政府信息公开引起的行政复议</w:t>
      </w:r>
      <w:r>
        <w:rPr>
          <w:rFonts w:hint="eastAsia" w:ascii="仿宋_GB2312" w:hAnsi="仿宋_GB2312" w:cs="仿宋_GB2312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诉讼。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（三）政府信息管理情况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在政府网站公开平台上，及时更新“机构概况”栏目；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各类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其中：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工作信息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条，财政信息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条，人事信息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议案提案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条，重大行政决策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行政规范性文件1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其他文件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（四）政务平台建设情况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依托镇海区人民政府的政府信息公开网站发布信息公开指南，提供信息公开目录和表格的下载。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Cs w:val="32"/>
          <w:lang w:val="en-US" w:eastAsia="zh-CN"/>
        </w:rPr>
        <w:t>（五）监督保障情况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为了保障公众的知情权和参与权，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区科技局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持续强化信息公开的监督机制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，健全完善信息发布审核制度，并制定政务公开考核制度，配强工作力量，明确专人负责信息公开日常工作，对于政务公开相关工作进行考核。定期开展信息公开排查检查，针对存在的问题及时整改。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本单位接受各单位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和群众对本单位全年政府信息公开工作的社会监督、社会评议。2023年度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区科技局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未发生政务公开责任追究情况。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宁波市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镇海区科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局政务公开工作监督电话：0574-89287685。</w:t>
      </w:r>
    </w:p>
    <w:p>
      <w:pPr>
        <w:pStyle w:val="7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8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6"/>
        <w:gridCol w:w="1950"/>
        <w:gridCol w:w="1740"/>
        <w:gridCol w:w="17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本年制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发件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废止件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  <w:jc w:val="center"/>
        </w:trPr>
        <w:tc>
          <w:tcPr>
            <w:tcW w:w="2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2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53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2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53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  <w:jc w:val="center"/>
        </w:trPr>
        <w:tc>
          <w:tcPr>
            <w:tcW w:w="2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539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2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7"/>
        <w:widowControl/>
        <w:spacing w:before="0" w:beforeAutospacing="0" w:after="0" w:afterAutospacing="0" w:line="240" w:lineRule="exact"/>
        <w:ind w:firstLine="420"/>
        <w:jc w:val="both"/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widowControl/>
        <w:spacing w:before="0" w:beforeAutospacing="0" w:after="0" w:afterAutospacing="0" w:line="560" w:lineRule="exact"/>
        <w:ind w:firstLine="420"/>
        <w:jc w:val="both"/>
        <w:rPr>
          <w:rFonts w:hint="default" w:ascii="Times New Roman" w:hAnsi="Times New Roman" w:eastAsia="黑体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  <w:r>
        <w:rPr>
          <w:rFonts w:hint="default" w:ascii="Times New Roman" w:hAnsi="Times New Roman" w:eastAsia="黑体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（无）</w:t>
      </w:r>
    </w:p>
    <w:tbl>
      <w:tblPr>
        <w:tblStyle w:val="8"/>
        <w:tblW w:w="907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4010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29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6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7"/>
        <w:widowControl/>
        <w:spacing w:before="0" w:beforeAutospacing="0" w:after="0" w:afterAutospacing="0" w:line="560" w:lineRule="exact"/>
        <w:ind w:firstLine="420"/>
        <w:jc w:val="both"/>
        <w:rPr>
          <w:rFonts w:hint="default"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widowControl/>
        <w:spacing w:before="0" w:beforeAutospacing="0" w:after="0" w:afterAutospacing="0" w:line="560" w:lineRule="exact"/>
        <w:ind w:firstLine="420"/>
        <w:jc w:val="both"/>
        <w:rPr>
          <w:rFonts w:hint="default" w:ascii="Times New Roman" w:hAnsi="Times New Roman" w:eastAsia="黑体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  <w:r>
        <w:rPr>
          <w:rFonts w:hint="default" w:ascii="Times New Roman" w:hAnsi="Times New Roman" w:eastAsia="黑体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（无）</w:t>
      </w:r>
    </w:p>
    <w:tbl>
      <w:tblPr>
        <w:tblStyle w:val="8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default"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存在的主要问题及改进情况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_GB2312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年，局政府信息公开工作取得了一些成果，但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还</w:t>
      </w:r>
      <w:r>
        <w:rPr>
          <w:rFonts w:hint="default" w:ascii="Times New Roman" w:hAnsi="Times New Roman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存在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工作模式依然偏传统化、创新力度还不够</w:t>
      </w: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  <w:t>下一步在做好常规政府信息公开工作的基础上，将从以下几个方面寻求突破：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一是进一步夯实政府信息公开基础。坚持“以公开为常态，不公开为例外”原则，加强政府信息管理，提高信息公开工作的质量和水平。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二是强化提升政府信息公开创新能力。聚焦政策宣传、政策解读，利用图表图解、音频视频等形式多角度、全方位开展，提升解读实效性。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年度，我局未收到政府信息公开申请，故未产生任何有关政府信息公开信息处理事项及费用。</w:t>
      </w:r>
      <w:r>
        <w:rPr>
          <w:rFonts w:hint="eastAsia" w:ascii="Times New Roman" w:hAnsi="Times New Roman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后续我局将依照省、市政府办公厅的相关规定，采取有力措施，确保政府信息公开工作的有序进行，提升信息的准确性和及时性，依法保障公众的知情权。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57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YTYwZTA0MmM1ZGMzMzQyM2UwODJmZWY3MWQ0YzYifQ=="/>
  </w:docVars>
  <w:rsids>
    <w:rsidRoot w:val="000B52BC"/>
    <w:rsid w:val="00037533"/>
    <w:rsid w:val="00041328"/>
    <w:rsid w:val="00044024"/>
    <w:rsid w:val="000462DB"/>
    <w:rsid w:val="000704EE"/>
    <w:rsid w:val="00072B74"/>
    <w:rsid w:val="00090804"/>
    <w:rsid w:val="000955BD"/>
    <w:rsid w:val="000A516E"/>
    <w:rsid w:val="000B52BC"/>
    <w:rsid w:val="000C00E9"/>
    <w:rsid w:val="000F3012"/>
    <w:rsid w:val="0010540A"/>
    <w:rsid w:val="0010652F"/>
    <w:rsid w:val="0010792B"/>
    <w:rsid w:val="00127903"/>
    <w:rsid w:val="00127E98"/>
    <w:rsid w:val="001425EE"/>
    <w:rsid w:val="0015143B"/>
    <w:rsid w:val="00177506"/>
    <w:rsid w:val="00182C67"/>
    <w:rsid w:val="001904E3"/>
    <w:rsid w:val="00194123"/>
    <w:rsid w:val="001A2FC2"/>
    <w:rsid w:val="001C1C88"/>
    <w:rsid w:val="00243881"/>
    <w:rsid w:val="002676DA"/>
    <w:rsid w:val="002A1850"/>
    <w:rsid w:val="002A7642"/>
    <w:rsid w:val="002B0AF9"/>
    <w:rsid w:val="002B2EA0"/>
    <w:rsid w:val="002B398D"/>
    <w:rsid w:val="002C2EAB"/>
    <w:rsid w:val="002D548F"/>
    <w:rsid w:val="002E3228"/>
    <w:rsid w:val="00310234"/>
    <w:rsid w:val="00313365"/>
    <w:rsid w:val="00352BE8"/>
    <w:rsid w:val="003711B5"/>
    <w:rsid w:val="003B5B31"/>
    <w:rsid w:val="003D7AF4"/>
    <w:rsid w:val="003E0174"/>
    <w:rsid w:val="004221DD"/>
    <w:rsid w:val="00452F48"/>
    <w:rsid w:val="0046319F"/>
    <w:rsid w:val="00470565"/>
    <w:rsid w:val="004955BE"/>
    <w:rsid w:val="004A09DB"/>
    <w:rsid w:val="004A73AF"/>
    <w:rsid w:val="004C1E72"/>
    <w:rsid w:val="004C3A7C"/>
    <w:rsid w:val="004C700C"/>
    <w:rsid w:val="004D5C2A"/>
    <w:rsid w:val="004E5B75"/>
    <w:rsid w:val="0050017B"/>
    <w:rsid w:val="00580B78"/>
    <w:rsid w:val="00621965"/>
    <w:rsid w:val="006379E2"/>
    <w:rsid w:val="00650C1F"/>
    <w:rsid w:val="00672414"/>
    <w:rsid w:val="006729A0"/>
    <w:rsid w:val="00683D00"/>
    <w:rsid w:val="0068581A"/>
    <w:rsid w:val="006A627E"/>
    <w:rsid w:val="006A79BB"/>
    <w:rsid w:val="006C2731"/>
    <w:rsid w:val="00721F72"/>
    <w:rsid w:val="00724DF5"/>
    <w:rsid w:val="00735A30"/>
    <w:rsid w:val="007576A2"/>
    <w:rsid w:val="007A38EF"/>
    <w:rsid w:val="007B2F2A"/>
    <w:rsid w:val="007C6826"/>
    <w:rsid w:val="007D613C"/>
    <w:rsid w:val="007E40D8"/>
    <w:rsid w:val="007F0330"/>
    <w:rsid w:val="00801ECB"/>
    <w:rsid w:val="0081568B"/>
    <w:rsid w:val="00815CFA"/>
    <w:rsid w:val="008262BA"/>
    <w:rsid w:val="00827A2A"/>
    <w:rsid w:val="00837E47"/>
    <w:rsid w:val="00871B2A"/>
    <w:rsid w:val="008A4024"/>
    <w:rsid w:val="008E6457"/>
    <w:rsid w:val="00932F64"/>
    <w:rsid w:val="00956A70"/>
    <w:rsid w:val="00975DD3"/>
    <w:rsid w:val="00977B79"/>
    <w:rsid w:val="00977EB3"/>
    <w:rsid w:val="009852C1"/>
    <w:rsid w:val="009B4D8E"/>
    <w:rsid w:val="009B6F9B"/>
    <w:rsid w:val="009C1575"/>
    <w:rsid w:val="009C3E34"/>
    <w:rsid w:val="00A05552"/>
    <w:rsid w:val="00A240FB"/>
    <w:rsid w:val="00A60454"/>
    <w:rsid w:val="00A64571"/>
    <w:rsid w:val="00AB6B3B"/>
    <w:rsid w:val="00AE0459"/>
    <w:rsid w:val="00B050AB"/>
    <w:rsid w:val="00B05C2D"/>
    <w:rsid w:val="00B13CC4"/>
    <w:rsid w:val="00B208C2"/>
    <w:rsid w:val="00B324FD"/>
    <w:rsid w:val="00B33507"/>
    <w:rsid w:val="00B34479"/>
    <w:rsid w:val="00B434DD"/>
    <w:rsid w:val="00B574E4"/>
    <w:rsid w:val="00B57BBF"/>
    <w:rsid w:val="00B975CB"/>
    <w:rsid w:val="00BA1AF5"/>
    <w:rsid w:val="00BB4E99"/>
    <w:rsid w:val="00BC155E"/>
    <w:rsid w:val="00BC36B1"/>
    <w:rsid w:val="00C16332"/>
    <w:rsid w:val="00C532F8"/>
    <w:rsid w:val="00C9420D"/>
    <w:rsid w:val="00CC42A7"/>
    <w:rsid w:val="00CC7889"/>
    <w:rsid w:val="00CD527C"/>
    <w:rsid w:val="00CE75D3"/>
    <w:rsid w:val="00CF4FE6"/>
    <w:rsid w:val="00D216D9"/>
    <w:rsid w:val="00D50C76"/>
    <w:rsid w:val="00D626A4"/>
    <w:rsid w:val="00D90441"/>
    <w:rsid w:val="00D97330"/>
    <w:rsid w:val="00DB76E7"/>
    <w:rsid w:val="00DC552E"/>
    <w:rsid w:val="00E00FBC"/>
    <w:rsid w:val="00E01219"/>
    <w:rsid w:val="00E045A9"/>
    <w:rsid w:val="00E04B34"/>
    <w:rsid w:val="00E1070D"/>
    <w:rsid w:val="00E22DCF"/>
    <w:rsid w:val="00E34F4B"/>
    <w:rsid w:val="00E43683"/>
    <w:rsid w:val="00E65607"/>
    <w:rsid w:val="00E75FE8"/>
    <w:rsid w:val="00E93EB1"/>
    <w:rsid w:val="00EE37C6"/>
    <w:rsid w:val="00EF5665"/>
    <w:rsid w:val="00F03027"/>
    <w:rsid w:val="00F13FD5"/>
    <w:rsid w:val="00F25941"/>
    <w:rsid w:val="00F30D79"/>
    <w:rsid w:val="00F5022A"/>
    <w:rsid w:val="00F51D9A"/>
    <w:rsid w:val="00F529F9"/>
    <w:rsid w:val="00F54BDF"/>
    <w:rsid w:val="00FA402C"/>
    <w:rsid w:val="00FB517B"/>
    <w:rsid w:val="00FB5B1B"/>
    <w:rsid w:val="00FB5F34"/>
    <w:rsid w:val="00FE0301"/>
    <w:rsid w:val="00FF125C"/>
    <w:rsid w:val="01606939"/>
    <w:rsid w:val="028B7ABC"/>
    <w:rsid w:val="037B3274"/>
    <w:rsid w:val="04FD1ABF"/>
    <w:rsid w:val="05E46539"/>
    <w:rsid w:val="05F61CD7"/>
    <w:rsid w:val="065165A5"/>
    <w:rsid w:val="0666580E"/>
    <w:rsid w:val="06FC1585"/>
    <w:rsid w:val="0716475A"/>
    <w:rsid w:val="076B1838"/>
    <w:rsid w:val="085F33CA"/>
    <w:rsid w:val="08A118B5"/>
    <w:rsid w:val="09793B17"/>
    <w:rsid w:val="097B289D"/>
    <w:rsid w:val="0A425CBB"/>
    <w:rsid w:val="0AFC1A95"/>
    <w:rsid w:val="0B737155"/>
    <w:rsid w:val="0C1F2AF1"/>
    <w:rsid w:val="0C464F2F"/>
    <w:rsid w:val="0CB42FE4"/>
    <w:rsid w:val="0CDE3394"/>
    <w:rsid w:val="0DAC357C"/>
    <w:rsid w:val="0E3756DF"/>
    <w:rsid w:val="0F7718EE"/>
    <w:rsid w:val="0FB2044E"/>
    <w:rsid w:val="0FD534D4"/>
    <w:rsid w:val="10832D25"/>
    <w:rsid w:val="112B58E0"/>
    <w:rsid w:val="12371DBC"/>
    <w:rsid w:val="129C238C"/>
    <w:rsid w:val="12B51D40"/>
    <w:rsid w:val="12CE4E68"/>
    <w:rsid w:val="13E833B7"/>
    <w:rsid w:val="1480482F"/>
    <w:rsid w:val="148854BE"/>
    <w:rsid w:val="150C1E94"/>
    <w:rsid w:val="15277AF8"/>
    <w:rsid w:val="16F93C3E"/>
    <w:rsid w:val="17674272"/>
    <w:rsid w:val="18585FC0"/>
    <w:rsid w:val="18BC6E74"/>
    <w:rsid w:val="191120AF"/>
    <w:rsid w:val="19274253"/>
    <w:rsid w:val="192B20BF"/>
    <w:rsid w:val="197A625B"/>
    <w:rsid w:val="19B263B5"/>
    <w:rsid w:val="19DF59CD"/>
    <w:rsid w:val="1A0F674F"/>
    <w:rsid w:val="1A3D0518"/>
    <w:rsid w:val="1A582E9D"/>
    <w:rsid w:val="1A7154EF"/>
    <w:rsid w:val="1B1E690C"/>
    <w:rsid w:val="1B88053A"/>
    <w:rsid w:val="1BA53729"/>
    <w:rsid w:val="1CE30C5B"/>
    <w:rsid w:val="1D0B2C34"/>
    <w:rsid w:val="1E3A3326"/>
    <w:rsid w:val="1EA61A94"/>
    <w:rsid w:val="1ED32220"/>
    <w:rsid w:val="1FB0418D"/>
    <w:rsid w:val="20A3249B"/>
    <w:rsid w:val="20A445FA"/>
    <w:rsid w:val="20B87D23"/>
    <w:rsid w:val="21245993"/>
    <w:rsid w:val="221F520B"/>
    <w:rsid w:val="23527D33"/>
    <w:rsid w:val="2363459D"/>
    <w:rsid w:val="246B154C"/>
    <w:rsid w:val="24C01831"/>
    <w:rsid w:val="24E645BE"/>
    <w:rsid w:val="24ED62A3"/>
    <w:rsid w:val="26185D90"/>
    <w:rsid w:val="26301657"/>
    <w:rsid w:val="2683543F"/>
    <w:rsid w:val="275424FD"/>
    <w:rsid w:val="295638EB"/>
    <w:rsid w:val="296341F3"/>
    <w:rsid w:val="2B993138"/>
    <w:rsid w:val="2C1D39E6"/>
    <w:rsid w:val="2C6C546F"/>
    <w:rsid w:val="2CF904F7"/>
    <w:rsid w:val="2D9561D7"/>
    <w:rsid w:val="2E377F5E"/>
    <w:rsid w:val="2F2E2A75"/>
    <w:rsid w:val="2F396887"/>
    <w:rsid w:val="2FA362B7"/>
    <w:rsid w:val="30492457"/>
    <w:rsid w:val="3080086A"/>
    <w:rsid w:val="309F7682"/>
    <w:rsid w:val="30A12956"/>
    <w:rsid w:val="316F2E20"/>
    <w:rsid w:val="31CD6840"/>
    <w:rsid w:val="320D2EAD"/>
    <w:rsid w:val="3218343D"/>
    <w:rsid w:val="32453007"/>
    <w:rsid w:val="3282506A"/>
    <w:rsid w:val="335453C3"/>
    <w:rsid w:val="335F08A0"/>
    <w:rsid w:val="34B74780"/>
    <w:rsid w:val="34BF7E98"/>
    <w:rsid w:val="355E70FF"/>
    <w:rsid w:val="35D10FDA"/>
    <w:rsid w:val="360B7EBA"/>
    <w:rsid w:val="362664E5"/>
    <w:rsid w:val="36985520"/>
    <w:rsid w:val="36A54835"/>
    <w:rsid w:val="36C52188"/>
    <w:rsid w:val="376748F3"/>
    <w:rsid w:val="37C06287"/>
    <w:rsid w:val="38571A91"/>
    <w:rsid w:val="39037B98"/>
    <w:rsid w:val="39AC6D2C"/>
    <w:rsid w:val="3A160959"/>
    <w:rsid w:val="3AB571E5"/>
    <w:rsid w:val="3AE60A28"/>
    <w:rsid w:val="3AEB54BA"/>
    <w:rsid w:val="3B1F6C0D"/>
    <w:rsid w:val="3B5B576D"/>
    <w:rsid w:val="3B7B58A2"/>
    <w:rsid w:val="3C1B2328"/>
    <w:rsid w:val="3C2506B9"/>
    <w:rsid w:val="3C5947DC"/>
    <w:rsid w:val="3D9E5D28"/>
    <w:rsid w:val="3E586526"/>
    <w:rsid w:val="3ECD0CEE"/>
    <w:rsid w:val="3F584CF9"/>
    <w:rsid w:val="3F736BA7"/>
    <w:rsid w:val="3FCD3E94"/>
    <w:rsid w:val="401D15BF"/>
    <w:rsid w:val="412020E6"/>
    <w:rsid w:val="413F7118"/>
    <w:rsid w:val="41680586"/>
    <w:rsid w:val="427E58A6"/>
    <w:rsid w:val="44372678"/>
    <w:rsid w:val="44973545"/>
    <w:rsid w:val="47DC479C"/>
    <w:rsid w:val="480E3F8A"/>
    <w:rsid w:val="48E674A9"/>
    <w:rsid w:val="494C6E4D"/>
    <w:rsid w:val="4A0B5F87"/>
    <w:rsid w:val="4A35264E"/>
    <w:rsid w:val="4ABE12AD"/>
    <w:rsid w:val="4B816DED"/>
    <w:rsid w:val="4C016F04"/>
    <w:rsid w:val="4C325691"/>
    <w:rsid w:val="4C4E1C6F"/>
    <w:rsid w:val="4C5C5856"/>
    <w:rsid w:val="4C6B47EC"/>
    <w:rsid w:val="4C870899"/>
    <w:rsid w:val="4D2F3630"/>
    <w:rsid w:val="4D39613E"/>
    <w:rsid w:val="4D3B1641"/>
    <w:rsid w:val="4D873CBF"/>
    <w:rsid w:val="4DDA685F"/>
    <w:rsid w:val="4E831245"/>
    <w:rsid w:val="4EB359AB"/>
    <w:rsid w:val="4F47041D"/>
    <w:rsid w:val="501F5F01"/>
    <w:rsid w:val="513656C9"/>
    <w:rsid w:val="51EF20EB"/>
    <w:rsid w:val="52AF74B4"/>
    <w:rsid w:val="52DD6CFF"/>
    <w:rsid w:val="52F572EF"/>
    <w:rsid w:val="534A5933"/>
    <w:rsid w:val="536D0553"/>
    <w:rsid w:val="53A82C54"/>
    <w:rsid w:val="540D4E72"/>
    <w:rsid w:val="542E1E8C"/>
    <w:rsid w:val="544D242D"/>
    <w:rsid w:val="544F678C"/>
    <w:rsid w:val="54CC3FAC"/>
    <w:rsid w:val="55BB16B6"/>
    <w:rsid w:val="55FC469E"/>
    <w:rsid w:val="564C5721"/>
    <w:rsid w:val="56D977B2"/>
    <w:rsid w:val="58FA014A"/>
    <w:rsid w:val="59922F80"/>
    <w:rsid w:val="59D062E8"/>
    <w:rsid w:val="5A0667C2"/>
    <w:rsid w:val="5A777D7A"/>
    <w:rsid w:val="5B1762F2"/>
    <w:rsid w:val="5BAE7477"/>
    <w:rsid w:val="5C0E1115"/>
    <w:rsid w:val="5C502E84"/>
    <w:rsid w:val="5D2231DC"/>
    <w:rsid w:val="5D4D1AA2"/>
    <w:rsid w:val="5D6F3AAD"/>
    <w:rsid w:val="5E20787C"/>
    <w:rsid w:val="5E6F2E7E"/>
    <w:rsid w:val="5F107184"/>
    <w:rsid w:val="5F3828C7"/>
    <w:rsid w:val="5F9973BE"/>
    <w:rsid w:val="606E2944"/>
    <w:rsid w:val="60B37BB5"/>
    <w:rsid w:val="60BE0144"/>
    <w:rsid w:val="60CB525C"/>
    <w:rsid w:val="613F1997"/>
    <w:rsid w:val="63636698"/>
    <w:rsid w:val="63723EB5"/>
    <w:rsid w:val="63A01501"/>
    <w:rsid w:val="64212D54"/>
    <w:rsid w:val="64245352"/>
    <w:rsid w:val="64632940"/>
    <w:rsid w:val="6464113E"/>
    <w:rsid w:val="64C4255D"/>
    <w:rsid w:val="659E0FC7"/>
    <w:rsid w:val="65AF1261"/>
    <w:rsid w:val="661C125F"/>
    <w:rsid w:val="6671351E"/>
    <w:rsid w:val="66CC61B6"/>
    <w:rsid w:val="678A3FEA"/>
    <w:rsid w:val="67D469E8"/>
    <w:rsid w:val="689E35C9"/>
    <w:rsid w:val="68A47FBA"/>
    <w:rsid w:val="690D0DD5"/>
    <w:rsid w:val="69A50E62"/>
    <w:rsid w:val="6C3F191B"/>
    <w:rsid w:val="6C496EB7"/>
    <w:rsid w:val="6CDE73AA"/>
    <w:rsid w:val="6CF30121"/>
    <w:rsid w:val="6D41164D"/>
    <w:rsid w:val="6E072310"/>
    <w:rsid w:val="6E8354DD"/>
    <w:rsid w:val="6E8B4077"/>
    <w:rsid w:val="6E9D190A"/>
    <w:rsid w:val="6EAC4123"/>
    <w:rsid w:val="6EB76C30"/>
    <w:rsid w:val="6F1432C8"/>
    <w:rsid w:val="7000374F"/>
    <w:rsid w:val="702000C3"/>
    <w:rsid w:val="70427A3C"/>
    <w:rsid w:val="720E5A2E"/>
    <w:rsid w:val="726141B3"/>
    <w:rsid w:val="72771BDA"/>
    <w:rsid w:val="731345C6"/>
    <w:rsid w:val="7331488C"/>
    <w:rsid w:val="733C2292"/>
    <w:rsid w:val="738A4F1A"/>
    <w:rsid w:val="738C6963"/>
    <w:rsid w:val="73E05929"/>
    <w:rsid w:val="73E20E2C"/>
    <w:rsid w:val="74333645"/>
    <w:rsid w:val="745C0AF6"/>
    <w:rsid w:val="74A521EF"/>
    <w:rsid w:val="74D519BD"/>
    <w:rsid w:val="751759A6"/>
    <w:rsid w:val="753E10E9"/>
    <w:rsid w:val="754F1383"/>
    <w:rsid w:val="75676A2A"/>
    <w:rsid w:val="75A51D92"/>
    <w:rsid w:val="75F1698E"/>
    <w:rsid w:val="76D250B9"/>
    <w:rsid w:val="77E83245"/>
    <w:rsid w:val="7910652B"/>
    <w:rsid w:val="791F45C7"/>
    <w:rsid w:val="79383CEF"/>
    <w:rsid w:val="79854D30"/>
    <w:rsid w:val="79F80A27"/>
    <w:rsid w:val="7A5336BF"/>
    <w:rsid w:val="7A805488"/>
    <w:rsid w:val="7AF349B0"/>
    <w:rsid w:val="7AF741CD"/>
    <w:rsid w:val="7B27635A"/>
    <w:rsid w:val="7B3C5912"/>
    <w:rsid w:val="7BBE6A38"/>
    <w:rsid w:val="7C5C5C93"/>
    <w:rsid w:val="7E8678A1"/>
    <w:rsid w:val="7EBD57FD"/>
    <w:rsid w:val="7F2464A6"/>
    <w:rsid w:val="7FEB0A79"/>
    <w:rsid w:val="7FF3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 w:line="300" w:lineRule="auto"/>
      <w:ind w:left="0" w:leftChars="0"/>
    </w:pPr>
    <w:rPr>
      <w:rFonts w:hint="default" w:ascii="Calibri" w:hAnsi="Calibri"/>
      <w:i/>
      <w:sz w:val="21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rFonts w:hint="default"/>
      <w:sz w:val="21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5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eastAsia="仿宋_GB2312"/>
      <w:kern w:val="0"/>
      <w:sz w:val="32"/>
      <w:szCs w:val="24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9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411</Words>
  <Characters>2345</Characters>
  <Lines>19</Lines>
  <Paragraphs>5</Paragraphs>
  <TotalTime>15</TotalTime>
  <ScaleCrop>false</ScaleCrop>
  <LinksUpToDate>false</LinksUpToDate>
  <CharactersWithSpaces>2751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2020-02-17T08:24:00Z</dcterms:created>
  <dc:creator>王海进</dc:creator>
  <cp:lastModifiedBy>区科技局（科协）</cp:lastModifiedBy>
  <cp:lastPrinted>2021-12-28T07:25:00Z</cp:lastPrinted>
  <dcterms:modified xsi:type="dcterms:W3CDTF">2024-04-17T01:16:56Z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12BC7E43CE0242A58BBCB73A1D33C7AE</vt:lpwstr>
  </property>
</Properties>
</file>