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宁波市镇海区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经济和信息化局</w:t>
      </w: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2021年度政府信息公开工作年度报告</w:t>
      </w:r>
    </w:p>
    <w:p>
      <w:pPr>
        <w:spacing w:line="500" w:lineRule="exact"/>
        <w:rPr>
          <w:rFonts w:hint="eastAsia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一、总体情况</w:t>
      </w:r>
    </w:p>
    <w:p>
      <w:pPr>
        <w:ind w:firstLine="570"/>
        <w:rPr>
          <w:rFonts w:hint="eastAsia" w:ascii="Times New Roman" w:hAnsi="Times New Roman" w:cs="Times New Roman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区经信局</w:t>
      </w:r>
      <w:r>
        <w:rPr>
          <w:rFonts w:hint="eastAsia" w:ascii="仿宋_GB2312" w:hAnsi="宋体" w:eastAsia="仿宋_GB2312"/>
          <w:sz w:val="32"/>
          <w:szCs w:val="32"/>
        </w:rPr>
        <w:t>按照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区政府、</w:t>
      </w:r>
      <w:r>
        <w:rPr>
          <w:rFonts w:hint="eastAsia" w:ascii="仿宋_GB2312" w:hAnsi="宋体" w:eastAsia="仿宋_GB2312"/>
          <w:sz w:val="32"/>
          <w:szCs w:val="32"/>
        </w:rPr>
        <w:t>区政府办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/>
          <w:sz w:val="32"/>
          <w:szCs w:val="32"/>
        </w:rPr>
        <w:t>要求，不断健全完善政务信息公开工作制度，</w:t>
      </w:r>
      <w:r>
        <w:rPr>
          <w:rFonts w:hint="eastAsia" w:ascii="仿宋_GB2312" w:hAnsi="宋体"/>
          <w:sz w:val="32"/>
          <w:szCs w:val="32"/>
          <w:lang w:val="en-US" w:eastAsia="zh-CN"/>
        </w:rPr>
        <w:t>扎实做好</w:t>
      </w:r>
      <w:r>
        <w:rPr>
          <w:rFonts w:hint="eastAsia" w:ascii="仿宋_GB2312" w:hAnsi="宋体" w:eastAsia="仿宋_GB2312"/>
          <w:sz w:val="32"/>
          <w:szCs w:val="32"/>
        </w:rPr>
        <w:t>政务公开工作</w:t>
      </w:r>
      <w:r>
        <w:rPr>
          <w:rFonts w:hint="eastAsia" w:ascii="仿宋_GB2312" w:hAnsi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切实保障人民群众的知情权、参与权、监督权和表达权。局政务公开工作主要包括对政府信息公开页面、政务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微信</w:t>
      </w:r>
      <w:r>
        <w:rPr>
          <w:rFonts w:hint="eastAsia" w:ascii="仿宋_GB2312" w:hAnsi="宋体" w:eastAsia="仿宋_GB2312"/>
          <w:sz w:val="32"/>
          <w:szCs w:val="32"/>
        </w:rPr>
        <w:t>的更新和维护工作</w:t>
      </w:r>
      <w:r>
        <w:rPr>
          <w:rFonts w:hint="eastAsia" w:ascii="仿宋_GB2312" w:hAnsi="宋体"/>
          <w:sz w:val="32"/>
          <w:szCs w:val="32"/>
          <w:lang w:eastAsia="zh-CN"/>
        </w:rPr>
        <w:t>。</w:t>
      </w:r>
      <w:r>
        <w:rPr>
          <w:rFonts w:hint="eastAsia" w:ascii="仿宋_GB2312" w:hAnsi="宋体"/>
          <w:sz w:val="32"/>
          <w:szCs w:val="32"/>
          <w:lang w:val="en-US" w:eastAsia="zh-CN"/>
        </w:rPr>
        <w:t>全年</w:t>
      </w:r>
      <w:r>
        <w:rPr>
          <w:rFonts w:hint="eastAsia" w:ascii="仿宋_GB2312" w:hAnsi="宋体" w:eastAsia="仿宋_GB2312"/>
          <w:sz w:val="32"/>
          <w:szCs w:val="32"/>
        </w:rPr>
        <w:t>在信息公开页面公开信息</w:t>
      </w:r>
      <w:r>
        <w:rPr>
          <w:rFonts w:hint="eastAsia" w:ascii="仿宋_GB2312" w:hAnsi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余</w:t>
      </w:r>
      <w:r>
        <w:rPr>
          <w:rFonts w:hint="eastAsia" w:ascii="仿宋_GB2312" w:hAnsi="宋体" w:eastAsia="仿宋_GB2312"/>
          <w:sz w:val="32"/>
          <w:szCs w:val="32"/>
        </w:rPr>
        <w:t>条，政务微信推送信息</w:t>
      </w:r>
      <w:r>
        <w:rPr>
          <w:rFonts w:hint="eastAsia" w:ascii="仿宋_GB2312" w:hAnsi="宋体"/>
          <w:sz w:val="32"/>
          <w:szCs w:val="32"/>
          <w:lang w:val="en-US" w:eastAsia="zh-CN"/>
        </w:rPr>
        <w:t>200余</w:t>
      </w:r>
      <w:r>
        <w:rPr>
          <w:rFonts w:hint="eastAsia" w:ascii="仿宋_GB2312" w:hAnsi="宋体" w:eastAsia="仿宋_GB2312"/>
          <w:sz w:val="32"/>
          <w:szCs w:val="32"/>
        </w:rPr>
        <w:t>条次。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（一）主动公开情况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Times New Roman" w:hAnsi="Times New Roman" w:cs="Times New Roman"/>
          <w:szCs w:val="32"/>
          <w:lang w:val="en-US" w:eastAsia="zh-CN"/>
        </w:rPr>
      </w:pPr>
      <w:r>
        <w:rPr>
          <w:rFonts w:hint="eastAsia" w:ascii="Times New Roman" w:hAnsi="Times New Roman" w:cs="Times New Roman"/>
          <w:szCs w:val="32"/>
          <w:lang w:eastAsia="zh-CN"/>
        </w:rPr>
        <w:t>主动公开政府信息</w:t>
      </w:r>
      <w:r>
        <w:rPr>
          <w:rFonts w:hint="eastAsia" w:ascii="Times New Roman" w:hAnsi="Times New Roman" w:cs="Times New Roman"/>
          <w:szCs w:val="32"/>
          <w:lang w:val="en-US" w:eastAsia="zh-CN"/>
        </w:rPr>
        <w:t>304</w:t>
      </w:r>
      <w:r>
        <w:rPr>
          <w:rFonts w:hint="eastAsia" w:ascii="Times New Roman" w:hAnsi="Times New Roman" w:cs="Times New Roman"/>
          <w:szCs w:val="32"/>
          <w:lang w:eastAsia="zh-CN"/>
        </w:rPr>
        <w:t>条（不同渠道和方式公开相同信息计1条），其中</w:t>
      </w:r>
      <w:r>
        <w:rPr>
          <w:rFonts w:hint="eastAsia" w:ascii="Times New Roman" w:hAnsi="Times New Roman" w:cs="Times New Roman"/>
          <w:szCs w:val="32"/>
          <w:lang w:val="en-US" w:eastAsia="zh-CN"/>
        </w:rPr>
        <w:t>政府网站公开23条，政务微信公开281条。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（二）依申请公开情况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Times New Roman" w:hAnsi="Times New Roman" w:eastAsia="仿宋_GB2312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本年度未收到依申请公开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（三）政府信息管理情况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严格政府信息发布审核机制。制定政府信息公开制度，进一步明确公开范围，加强对发布信息的审核把关，确保信息发布准确、权威、及时、高效、便民。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（四）政府信息公开平台建设情况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default" w:ascii="仿宋_GB2312" w:hAnsi="仿宋_GB2312" w:cs="仿宋_GB2312"/>
          <w:snapToGrid w:val="0"/>
          <w:color w:val="000000"/>
          <w:spacing w:val="-4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snapToGrid w:val="0"/>
          <w:color w:val="000000"/>
          <w:spacing w:val="-4"/>
          <w:szCs w:val="32"/>
          <w:shd w:val="clear" w:color="auto" w:fill="FFFFFF"/>
          <w:lang w:val="en-US" w:eastAsia="zh-CN"/>
        </w:rPr>
        <w:t>加强政务新媒体建设，充分利用政务新媒体及时发布工作动态、惠企政策、疫情防控要求等内容。同时，加强政务新媒体常态化监管，提高信息发布质量。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（五）监督保障方面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加强制度建设，制定政府信息公开制度，明确主要领导亲自抓、分管领导具体抓、各科室配合、办公室负责的工作机制。加强政务公开工作业务培训，积极参加全区培训，不断提高工作人员的工作能力和水平。</w:t>
      </w:r>
    </w:p>
    <w:p>
      <w:pPr>
        <w:pStyle w:val="6"/>
        <w:widowControl/>
        <w:spacing w:before="0" w:beforeAutospacing="0" w:after="0" w:afterAutospacing="0" w:line="560" w:lineRule="exact"/>
        <w:ind w:firstLine="632" w:firstLineChars="200"/>
        <w:jc w:val="both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二、主动公开政府信息情况</w:t>
      </w:r>
    </w:p>
    <w:tbl>
      <w:tblPr>
        <w:tblStyle w:val="7"/>
        <w:tblpPr w:leftFromText="180" w:rightFromText="180" w:vertAnchor="text" w:horzAnchor="page" w:tblpXSpec="center" w:tblpY="85"/>
        <w:tblOverlap w:val="never"/>
        <w:tblW w:w="92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35"/>
        <w:gridCol w:w="2435"/>
        <w:gridCol w:w="23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spacing w:before="0" w:beforeAutospacing="0" w:after="0" w:afterAutospacing="0" w:line="560" w:lineRule="exact"/>
        <w:ind w:firstLine="632" w:firstLineChars="200"/>
        <w:jc w:val="both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三、收到和处理政府信息公开申请情况</w:t>
      </w:r>
    </w:p>
    <w:tbl>
      <w:tblPr>
        <w:tblStyle w:val="7"/>
        <w:tblW w:w="92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959"/>
        <w:gridCol w:w="2630"/>
        <w:gridCol w:w="642"/>
        <w:gridCol w:w="714"/>
        <w:gridCol w:w="714"/>
        <w:gridCol w:w="714"/>
        <w:gridCol w:w="714"/>
        <w:gridCol w:w="714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91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57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商业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科研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both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（三）</w:t>
            </w:r>
          </w:p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不予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公开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3.其他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206" w:firstLineChars="100"/>
              <w:jc w:val="both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spacing w:before="0" w:beforeAutospacing="0" w:after="0" w:afterAutospacing="0" w:line="560" w:lineRule="exact"/>
        <w:ind w:firstLine="632" w:firstLineChars="200"/>
        <w:jc w:val="both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四、政府信息公开行政复议、行政诉讼情况</w:t>
      </w:r>
    </w:p>
    <w:tbl>
      <w:tblPr>
        <w:tblStyle w:val="7"/>
        <w:tblW w:w="93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35"/>
        <w:gridCol w:w="540"/>
        <w:gridCol w:w="649"/>
        <w:gridCol w:w="649"/>
        <w:gridCol w:w="650"/>
        <w:gridCol w:w="650"/>
        <w:gridCol w:w="576"/>
        <w:gridCol w:w="650"/>
        <w:gridCol w:w="650"/>
        <w:gridCol w:w="650"/>
        <w:gridCol w:w="650"/>
        <w:gridCol w:w="4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2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局虽然总体上能够按照要求扎实做好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政务公开工作，但仍然存在信息公开内容还不够完善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形式还不够丰富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等问题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一是加强信息公开意识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，及时发布和更新依法应主动公开的政府信息，逐步实现公开工作规范化、制度化和正常化。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二是创新公开形式。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政策直播等平台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，加大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政策解读创新力度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，进一步提高公开质量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未收到政府信息公开申请，故未产生任何有关政府信息公开信息处理事项及费用。后续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将严格</w:t>
      </w:r>
      <w:r>
        <w:rPr>
          <w:rFonts w:hint="eastAsia" w:ascii="仿宋_GB2312" w:hAnsi="宋体" w:eastAsia="仿宋_GB2312"/>
          <w:sz w:val="32"/>
          <w:szCs w:val="32"/>
        </w:rPr>
        <w:t>按照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区政府、</w:t>
      </w:r>
      <w:r>
        <w:rPr>
          <w:rFonts w:hint="eastAsia" w:ascii="仿宋_GB2312" w:hAnsi="宋体" w:eastAsia="仿宋_GB2312"/>
          <w:sz w:val="32"/>
          <w:szCs w:val="32"/>
        </w:rPr>
        <w:t>区政府办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/>
          <w:sz w:val="32"/>
          <w:szCs w:val="32"/>
        </w:rPr>
        <w:t>要求，</w:t>
      </w:r>
      <w:r>
        <w:rPr>
          <w:rFonts w:hint="eastAsia" w:ascii="仿宋_GB2312" w:hAnsi="宋体"/>
          <w:sz w:val="32"/>
          <w:szCs w:val="32"/>
          <w:lang w:val="en-US" w:eastAsia="zh-CN"/>
        </w:rPr>
        <w:t>扎实做好</w:t>
      </w:r>
      <w:r>
        <w:rPr>
          <w:rFonts w:hint="eastAsia" w:ascii="仿宋_GB2312" w:hAnsi="宋体" w:eastAsia="仿宋_GB2312"/>
          <w:sz w:val="32"/>
          <w:szCs w:val="32"/>
        </w:rPr>
        <w:t>政务公开工作</w:t>
      </w:r>
      <w:r>
        <w:rPr>
          <w:rFonts w:hint="eastAsia" w:ascii="仿宋_GB2312" w:hAnsi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切实保障人民群众的知情权、参与权、监督权和表达权。</w:t>
      </w:r>
    </w:p>
    <w:p>
      <w:pPr>
        <w:pStyle w:val="6"/>
        <w:widowControl/>
        <w:spacing w:before="0" w:beforeAutospacing="0" w:after="0" w:afterAutospacing="0" w:line="560" w:lineRule="exact"/>
        <w:ind w:firstLine="632" w:firstLineChars="200"/>
        <w:jc w:val="both"/>
        <w:rPr>
          <w:rFonts w:hint="default" w:ascii="Times New Roman" w:hAnsi="Times New Roman" w:cs="Times New Roman"/>
          <w:szCs w:val="32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decimal"/>
      <w:cols w:space="720" w:num="1"/>
      <w:titlePg/>
      <w:docGrid w:type="linesAndChars" w:linePitch="63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D0FEE"/>
    <w:rsid w:val="0F296BCE"/>
    <w:rsid w:val="113F4828"/>
    <w:rsid w:val="150A50E4"/>
    <w:rsid w:val="35ED0FEE"/>
    <w:rsid w:val="36FA6C55"/>
    <w:rsid w:val="439F3210"/>
    <w:rsid w:val="52BB416E"/>
    <w:rsid w:val="73A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Tahoma" w:hAnsi="Tahoma" w:eastAsia="仿宋_GB2312"/>
      <w:sz w:val="32"/>
      <w:szCs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default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jc w:val="left"/>
    </w:pPr>
    <w:rPr>
      <w:rFonts w:eastAsia="仿宋_GB2312"/>
      <w:kern w:val="0"/>
      <w:sz w:val="32"/>
      <w:szCs w:val="32"/>
    </w:rPr>
  </w:style>
  <w:style w:type="paragraph" w:customStyle="1" w:styleId="9">
    <w:name w:val="Char Char Char Char Char Char Char"/>
    <w:basedOn w:val="1"/>
    <w:link w:val="8"/>
    <w:qFormat/>
    <w:uiPriority w:val="0"/>
    <w:pPr>
      <w:widowControl w:val="0"/>
    </w:pPr>
    <w:rPr>
      <w:rFonts w:ascii="Tahoma" w:hAnsi="Tahoma" w:eastAsia="仿宋_GB2312"/>
      <w:sz w:val="32"/>
      <w:szCs w:val="32"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555555"/>
      <w:u w:val="none"/>
    </w:rPr>
  </w:style>
  <w:style w:type="character" w:styleId="12">
    <w:name w:val="Hyperlink"/>
    <w:basedOn w:val="8"/>
    <w:qFormat/>
    <w:uiPriority w:val="0"/>
    <w:rPr>
      <w:color w:val="555555"/>
      <w:u w:val="none"/>
    </w:rPr>
  </w:style>
  <w:style w:type="character" w:customStyle="1" w:styleId="13">
    <w:name w:val="sl"/>
    <w:basedOn w:val="8"/>
    <w:qFormat/>
    <w:uiPriority w:val="0"/>
    <w:rPr>
      <w:sz w:val="21"/>
      <w:szCs w:val="21"/>
    </w:rPr>
  </w:style>
  <w:style w:type="character" w:customStyle="1" w:styleId="14">
    <w:name w:val="line"/>
    <w:basedOn w:val="8"/>
    <w:qFormat/>
    <w:uiPriority w:val="0"/>
  </w:style>
  <w:style w:type="character" w:customStyle="1" w:styleId="15">
    <w:name w:val="line1"/>
    <w:basedOn w:val="8"/>
    <w:qFormat/>
    <w:uiPriority w:val="0"/>
  </w:style>
  <w:style w:type="character" w:customStyle="1" w:styleId="16">
    <w:name w:val="icon6"/>
    <w:basedOn w:val="8"/>
    <w:qFormat/>
    <w:uiPriority w:val="0"/>
  </w:style>
  <w:style w:type="character" w:customStyle="1" w:styleId="17">
    <w:name w:val="icon4"/>
    <w:basedOn w:val="8"/>
    <w:qFormat/>
    <w:uiPriority w:val="0"/>
  </w:style>
  <w:style w:type="character" w:customStyle="1" w:styleId="18">
    <w:name w:val="icon7"/>
    <w:basedOn w:val="8"/>
    <w:qFormat/>
    <w:uiPriority w:val="0"/>
  </w:style>
  <w:style w:type="character" w:customStyle="1" w:styleId="19">
    <w:name w:val="icon1"/>
    <w:basedOn w:val="8"/>
    <w:qFormat/>
    <w:uiPriority w:val="0"/>
  </w:style>
  <w:style w:type="character" w:customStyle="1" w:styleId="20">
    <w:name w:val="icon2"/>
    <w:basedOn w:val="8"/>
    <w:qFormat/>
    <w:uiPriority w:val="0"/>
  </w:style>
  <w:style w:type="character" w:customStyle="1" w:styleId="21">
    <w:name w:val="icon8"/>
    <w:basedOn w:val="8"/>
    <w:qFormat/>
    <w:uiPriority w:val="0"/>
  </w:style>
  <w:style w:type="character" w:customStyle="1" w:styleId="22">
    <w:name w:val="icon3"/>
    <w:basedOn w:val="8"/>
    <w:qFormat/>
    <w:uiPriority w:val="0"/>
  </w:style>
  <w:style w:type="character" w:customStyle="1" w:styleId="23">
    <w:name w:val="icon5"/>
    <w:basedOn w:val="8"/>
    <w:qFormat/>
    <w:uiPriority w:val="0"/>
  </w:style>
  <w:style w:type="character" w:customStyle="1" w:styleId="24">
    <w:name w:val="last-child1"/>
    <w:basedOn w:val="8"/>
    <w:qFormat/>
    <w:uiPriority w:val="0"/>
  </w:style>
  <w:style w:type="character" w:customStyle="1" w:styleId="25">
    <w:name w:val="fy_go"/>
    <w:basedOn w:val="8"/>
    <w:qFormat/>
    <w:uiPriority w:val="0"/>
    <w:rPr>
      <w:color w:val="FFFFFF"/>
      <w:sz w:val="21"/>
      <w:szCs w:val="21"/>
      <w:shd w:val="clear" w:fill="D10200"/>
    </w:rPr>
  </w:style>
  <w:style w:type="character" w:customStyle="1" w:styleId="26">
    <w:name w:val="on3"/>
    <w:basedOn w:val="8"/>
    <w:qFormat/>
    <w:uiPriority w:val="0"/>
    <w:rPr>
      <w:b/>
      <w:color w:val="D10200"/>
      <w:shd w:val="clear" w:fill="F2F2F2"/>
    </w:rPr>
  </w:style>
  <w:style w:type="character" w:customStyle="1" w:styleId="27">
    <w:name w:val="last-child"/>
    <w:basedOn w:val="8"/>
    <w:qFormat/>
    <w:uiPriority w:val="0"/>
  </w:style>
  <w:style w:type="character" w:customStyle="1" w:styleId="28">
    <w:name w:val="line2"/>
    <w:basedOn w:val="8"/>
    <w:qFormat/>
    <w:uiPriority w:val="0"/>
  </w:style>
  <w:style w:type="character" w:customStyle="1" w:styleId="29">
    <w:name w:val="line3"/>
    <w:basedOn w:val="8"/>
    <w:qFormat/>
    <w:uiPriority w:val="0"/>
  </w:style>
  <w:style w:type="character" w:customStyle="1" w:styleId="30">
    <w:name w:val="on"/>
    <w:basedOn w:val="8"/>
    <w:qFormat/>
    <w:uiPriority w:val="0"/>
    <w:rPr>
      <w:b/>
      <w:color w:val="D10200"/>
      <w:shd w:val="clear" w:fill="F2F2F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2022-01-12T02:32:00Z</dcterms:created>
  <dc:creator>邵鹏博</dc:creator>
  <cp:lastModifiedBy>邵鹏博</cp:lastModifiedBy>
  <cp:lastPrinted>2022-01-13T01:05:59Z</cp:lastPrinted>
  <dcterms:modified xsi:type="dcterms:W3CDTF">2022-01-13T01:06:56Z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