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int="eastAsia" w:ascii="新宋体" w:hAnsi="新宋体" w:eastAsia="新宋体" w:cs="新宋体"/>
          <w:bCs/>
          <w:sz w:val="36"/>
          <w:szCs w:val="36"/>
        </w:rPr>
      </w:pPr>
      <w:r>
        <w:rPr>
          <w:rFonts w:hint="eastAsia" w:ascii="新宋体" w:hAnsi="新宋体" w:eastAsia="新宋体" w:cs="新宋体"/>
          <w:bCs/>
          <w:sz w:val="36"/>
          <w:szCs w:val="36"/>
          <w:lang w:val="en-US" w:eastAsia="zh-CN"/>
        </w:rPr>
        <w:t>宁波市镇海区统计局</w:t>
      </w:r>
    </w:p>
    <w:p>
      <w:pPr>
        <w:pStyle w:val="2"/>
        <w:spacing w:line="500" w:lineRule="exact"/>
        <w:jc w:val="center"/>
        <w:rPr>
          <w:rFonts w:hint="eastAsia" w:ascii="新宋体" w:hAnsi="新宋体" w:eastAsia="新宋体" w:cs="新宋体"/>
          <w:bCs/>
          <w:sz w:val="36"/>
          <w:szCs w:val="36"/>
        </w:rPr>
      </w:pPr>
      <w:r>
        <w:rPr>
          <w:rFonts w:hint="eastAsia" w:ascii="新宋体" w:hAnsi="新宋体" w:eastAsia="新宋体" w:cs="新宋体"/>
          <w:bCs/>
          <w:sz w:val="36"/>
          <w:szCs w:val="36"/>
        </w:rPr>
        <w:t>2020年政府信息公开工作年度报告</w:t>
      </w:r>
    </w:p>
    <w:p>
      <w:pPr>
        <w:pStyle w:val="2"/>
        <w:spacing w:line="500" w:lineRule="exact"/>
        <w:jc w:val="center"/>
        <w:rPr>
          <w:rFonts w:hint="eastAsia" w:ascii="新宋体" w:hAnsi="新宋体" w:eastAsia="新宋体" w:cs="新宋体"/>
          <w:bCs/>
          <w:sz w:val="36"/>
          <w:szCs w:val="36"/>
        </w:rPr>
      </w:pPr>
    </w:p>
    <w:p>
      <w:pPr>
        <w:pStyle w:val="2"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年，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镇海区统计局</w:t>
      </w:r>
      <w:r>
        <w:rPr>
          <w:rFonts w:hint="eastAsia" w:ascii="仿宋" w:hAnsi="仿宋" w:eastAsia="仿宋" w:cs="仿宋"/>
          <w:bCs/>
          <w:sz w:val="32"/>
          <w:szCs w:val="32"/>
        </w:rPr>
        <w:t>深入学习贯彻习近平总书记考察浙江、宁波重要讲话精神，将努力提升政务公开工作水平作为当好浙江建设“重要窗口”模范生的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实际成效</w:t>
      </w:r>
      <w:r>
        <w:rPr>
          <w:rFonts w:hint="eastAsia" w:ascii="仿宋" w:hAnsi="仿宋" w:eastAsia="仿宋" w:cs="仿宋"/>
          <w:bCs/>
          <w:sz w:val="32"/>
          <w:szCs w:val="32"/>
        </w:rPr>
        <w:t>来抓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认真落实《中华人民共和国政府信息公开条例》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2020年镇海区政务公开工作要点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中的要求</w:t>
      </w:r>
      <w:r>
        <w:rPr>
          <w:rFonts w:hint="eastAsia" w:ascii="仿宋" w:hAnsi="仿宋" w:eastAsia="仿宋" w:cs="仿宋"/>
          <w:bCs/>
          <w:sz w:val="32"/>
          <w:szCs w:val="32"/>
        </w:rPr>
        <w:t>，紧紧围绕群众关注关切，强化决策执行公开，推进统计重点领域公开，完善政府信息公开制度规范，为促进区域经济高质量发展，加快法治型、服务型政府建设步伐，推进治理体系和治理能力现代化发挥了积极作用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spacing w:line="500" w:lineRule="exact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一、总体情况</w:t>
      </w:r>
    </w:p>
    <w:p>
      <w:pPr>
        <w:pStyle w:val="2"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年，我局公开信息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bCs/>
          <w:sz w:val="32"/>
          <w:szCs w:val="32"/>
        </w:rPr>
        <w:t>条，按发布渠道分类，政府信息公开平台公开政府信息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bCs/>
          <w:sz w:val="32"/>
          <w:szCs w:val="32"/>
        </w:rPr>
        <w:t>条，工作信息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 w:cs="仿宋"/>
          <w:bCs/>
          <w:sz w:val="32"/>
          <w:szCs w:val="32"/>
        </w:rPr>
        <w:t>条（通知公告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条，计划总结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条，统计数据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bCs/>
          <w:sz w:val="32"/>
          <w:szCs w:val="32"/>
        </w:rPr>
        <w:t>条），财政信息2条（部门预决算公开2条）；“镇海统计”官方微博原创政府信息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500" w:lineRule="exact"/>
        <w:ind w:firstLine="64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（一）完善组织领导</w:t>
      </w:r>
    </w:p>
    <w:p>
      <w:pPr>
        <w:pStyle w:val="2"/>
        <w:numPr>
          <w:ilvl w:val="0"/>
          <w:numId w:val="0"/>
        </w:numPr>
        <w:spacing w:line="500" w:lineRule="exact"/>
        <w:ind w:firstLine="64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我局不断加强和完善领导机制，充实政务公开工作领导小组，根据人事变动及工作要求及时调整有关人员，确保领导机构完整。由局长任组长，其他班子成员任副组长，各科室负责人为成员，指定数管中心具体负责政府信息公开日常工作，层层抓落实，做到领导、机构、人员“三到位”，形成了数管中心为主线，各科室为支线的齐抓共管工作格局。</w:t>
      </w:r>
    </w:p>
    <w:p>
      <w:pPr>
        <w:pStyle w:val="2"/>
        <w:numPr>
          <w:ilvl w:val="0"/>
          <w:numId w:val="1"/>
        </w:numPr>
        <w:spacing w:line="500" w:lineRule="exact"/>
        <w:ind w:firstLine="64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强化信息审核</w:t>
      </w:r>
    </w:p>
    <w:p>
      <w:pPr>
        <w:pStyle w:val="2"/>
        <w:numPr>
          <w:ilvl w:val="0"/>
          <w:numId w:val="0"/>
        </w:num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梳理完善常态化信息要素，机构概况、工作信息、行政执法等常态化信息更新符合频次规范；对标信息发布规范，严格按照《浙江省政府网站信息发布格式规范操作说明》要求发布信息。严格落实好科室负责人初审、分管领导审核、信息员审核把关责任，规范公开要素，未发生泄密以及网络舆情事件。</w:t>
      </w:r>
    </w:p>
    <w:p>
      <w:pPr>
        <w:pStyle w:val="2"/>
        <w:numPr>
          <w:ilvl w:val="0"/>
          <w:numId w:val="0"/>
        </w:numPr>
        <w:spacing w:line="500" w:lineRule="exact"/>
        <w:ind w:firstLine="64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（三）拓展公开形式</w:t>
      </w:r>
    </w:p>
    <w:p>
      <w:pPr>
        <w:pStyle w:val="2"/>
        <w:numPr>
          <w:ilvl w:val="0"/>
          <w:numId w:val="0"/>
        </w:num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年,我局通过区政务公开网站、镇海区统计局部门页面、镇海统计官方微博(微博名称:镇海统计)、《镇海统计年鉴》、《国民经济和社会发展情况统计公报》、《今日镇海》等载体,及时发布政策规范、统计数据和分析解读等信息，把政府信息公开作为改进工作作风和政府形象的重要载体，精心组织，规范进行，有效保障了群众的知情权、参与权、监督权。</w:t>
      </w:r>
    </w:p>
    <w:p>
      <w:pPr>
        <w:pStyle w:val="2"/>
        <w:numPr>
          <w:ilvl w:val="0"/>
          <w:numId w:val="0"/>
        </w:numPr>
        <w:spacing w:line="500" w:lineRule="exact"/>
        <w:ind w:firstLine="640"/>
        <w:jc w:val="lef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（四）加强数据共享</w:t>
      </w:r>
    </w:p>
    <w:p>
      <w:pPr>
        <w:pStyle w:val="2"/>
        <w:numPr>
          <w:ilvl w:val="0"/>
          <w:numId w:val="0"/>
        </w:numPr>
        <w:spacing w:line="500" w:lineRule="exact"/>
        <w:ind w:firstLine="640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区大数据发展中心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的指导下，及时完成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公共数据共享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目录的编制，对照目录公开事项内容，按照“以共享为原则，不共享为例外”的原则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做好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公共数据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专栏设立、信息迁移和补充工作。</w:t>
      </w:r>
    </w:p>
    <w:p>
      <w:pPr>
        <w:pStyle w:val="2"/>
        <w:spacing w:line="500" w:lineRule="exact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本年新</w:t>
            </w:r>
            <w:r>
              <w:rPr>
                <w:rFonts w:eastAsia="仿宋_GB2312"/>
                <w:kern w:val="0"/>
              </w:rPr>
              <w:br w:type="textWrapping"/>
            </w:r>
            <w:r>
              <w:rPr>
                <w:rFonts w:eastAsia="仿宋_GB2312"/>
                <w:kern w:val="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本年新</w:t>
            </w:r>
            <w:r>
              <w:rPr>
                <w:rFonts w:eastAsia="仿宋_GB2312"/>
                <w:kern w:val="0"/>
              </w:rPr>
              <w:br w:type="textWrapping"/>
            </w:r>
            <w:r>
              <w:rPr>
                <w:rFonts w:eastAsia="仿宋_GB2312"/>
                <w:kern w:val="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增（2）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419311元</w:t>
            </w:r>
          </w:p>
        </w:tc>
      </w:tr>
    </w:tbl>
    <w:p>
      <w:pPr>
        <w:pStyle w:val="2"/>
        <w:spacing w:line="5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</w:tbl>
    <w:p>
      <w:pPr>
        <w:pStyle w:val="2"/>
        <w:spacing w:line="5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四、政府信息公开行政复议、行政诉讼情况</w:t>
      </w:r>
    </w:p>
    <w:p>
      <w:pPr>
        <w:pStyle w:val="2"/>
        <w:spacing w:line="240" w:lineRule="exact"/>
        <w:ind w:firstLine="420"/>
        <w:jc w:val="both"/>
        <w:rPr>
          <w:sz w:val="21"/>
          <w:szCs w:val="21"/>
        </w:rPr>
      </w:pP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结果维</w:t>
            </w:r>
            <w:bookmarkStart w:id="0" w:name="_GoBack"/>
            <w:bookmarkEnd w:id="0"/>
            <w:r>
              <w:rPr>
                <w:rFonts w:eastAsia="仿宋_GB2312"/>
                <w:kern w:val="0"/>
              </w:rPr>
              <w:t>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</w:tbl>
    <w:p>
      <w:pPr>
        <w:pStyle w:val="2"/>
        <w:spacing w:line="500" w:lineRule="exact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五、存在的主要问题及改进情况</w:t>
      </w:r>
    </w:p>
    <w:p>
      <w:pPr>
        <w:pStyle w:val="2"/>
        <w:spacing w:line="500" w:lineRule="exact"/>
        <w:ind w:firstLine="643" w:firstLineChars="200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存在的主要问题：</w:t>
      </w:r>
    </w:p>
    <w:p>
      <w:pPr>
        <w:pStyle w:val="2"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政府信息公开的内容不尽全面，公开内容的广度、深度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有待进一步延伸。</w:t>
      </w:r>
    </w:p>
    <w:p>
      <w:pPr>
        <w:pStyle w:val="2"/>
        <w:spacing w:line="500" w:lineRule="exact"/>
        <w:ind w:firstLine="643" w:firstLineChars="20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下一步改进措施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：</w:t>
      </w:r>
    </w:p>
    <w:p>
      <w:pPr>
        <w:pStyle w:val="2"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在下一步的工作中，我局将着力从以下方面改进政务信息公开工作：一是进一步加强业务培训工作，加大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对业务人员的</w:t>
      </w:r>
      <w:r>
        <w:rPr>
          <w:rFonts w:hint="eastAsia" w:ascii="仿宋" w:hAnsi="仿宋" w:eastAsia="仿宋" w:cs="仿宋"/>
          <w:bCs/>
          <w:sz w:val="32"/>
          <w:szCs w:val="32"/>
        </w:rPr>
        <w:t>政务公开指导力度，定期组织培训，传达上级精神，部署工作任务，使政务公开工作更好地为社会、行业和公众服务；二是加强完善政府信息公开平台和载体建设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优化调整政府信息公开平台的栏目和功能，扩大政府信息公开渠道和范围，提高更新速率，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优化</w:t>
      </w:r>
      <w:r>
        <w:rPr>
          <w:rFonts w:hint="eastAsia" w:ascii="仿宋" w:hAnsi="仿宋" w:eastAsia="仿宋" w:cs="仿宋"/>
          <w:bCs/>
          <w:sz w:val="32"/>
          <w:szCs w:val="32"/>
        </w:rPr>
        <w:t>公开方式，逐步扩大信息公开的覆盖面，方便群众查询了解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统计</w:t>
      </w:r>
      <w:r>
        <w:rPr>
          <w:rFonts w:hint="eastAsia" w:ascii="仿宋" w:hAnsi="仿宋" w:eastAsia="仿宋" w:cs="仿宋"/>
          <w:bCs/>
          <w:sz w:val="32"/>
          <w:szCs w:val="32"/>
        </w:rPr>
        <w:t>工作，不断提升公开信息质量。</w:t>
      </w:r>
    </w:p>
    <w:p>
      <w:pPr>
        <w:pStyle w:val="2"/>
        <w:spacing w:line="500" w:lineRule="exact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其他需要报告的事项</w:t>
      </w:r>
    </w:p>
    <w:p>
      <w:pPr>
        <w:pStyle w:val="2"/>
        <w:spacing w:line="500" w:lineRule="exact"/>
        <w:ind w:firstLine="640" w:firstLineChars="200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2020年，本单位政府信息公开工作没有其他需要报告的事项。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B24A"/>
    <w:multiLevelType w:val="singleLevel"/>
    <w:tmpl w:val="2948B24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4010E"/>
    <w:rsid w:val="041D2468"/>
    <w:rsid w:val="071D4D67"/>
    <w:rsid w:val="090A06B6"/>
    <w:rsid w:val="09235D68"/>
    <w:rsid w:val="0AFB6DAD"/>
    <w:rsid w:val="0BB52E2E"/>
    <w:rsid w:val="122554F8"/>
    <w:rsid w:val="17BA1D7C"/>
    <w:rsid w:val="1C5F6A66"/>
    <w:rsid w:val="1F407F5F"/>
    <w:rsid w:val="1F612E5E"/>
    <w:rsid w:val="21B75162"/>
    <w:rsid w:val="24CD5A6F"/>
    <w:rsid w:val="25C7246C"/>
    <w:rsid w:val="26D4096C"/>
    <w:rsid w:val="27521C52"/>
    <w:rsid w:val="28173B41"/>
    <w:rsid w:val="2B1C472A"/>
    <w:rsid w:val="2DC741D5"/>
    <w:rsid w:val="303F55B9"/>
    <w:rsid w:val="3474010E"/>
    <w:rsid w:val="34DB48AA"/>
    <w:rsid w:val="35553992"/>
    <w:rsid w:val="361B0E59"/>
    <w:rsid w:val="37C34061"/>
    <w:rsid w:val="3E4566EB"/>
    <w:rsid w:val="3EC322D4"/>
    <w:rsid w:val="404C074C"/>
    <w:rsid w:val="40B32361"/>
    <w:rsid w:val="433D6446"/>
    <w:rsid w:val="444B35B0"/>
    <w:rsid w:val="4BBA7744"/>
    <w:rsid w:val="4C430052"/>
    <w:rsid w:val="4CEC3B5E"/>
    <w:rsid w:val="4D096EB3"/>
    <w:rsid w:val="4EE04B03"/>
    <w:rsid w:val="51D1769E"/>
    <w:rsid w:val="530A3AA3"/>
    <w:rsid w:val="5419715E"/>
    <w:rsid w:val="542935A3"/>
    <w:rsid w:val="5648504C"/>
    <w:rsid w:val="566349BC"/>
    <w:rsid w:val="5B336DC5"/>
    <w:rsid w:val="5BA56701"/>
    <w:rsid w:val="5D2E09E6"/>
    <w:rsid w:val="64AD192A"/>
    <w:rsid w:val="65D07771"/>
    <w:rsid w:val="66211531"/>
    <w:rsid w:val="6CFA3977"/>
    <w:rsid w:val="74A76973"/>
    <w:rsid w:val="7ADD2822"/>
    <w:rsid w:val="7C593F7B"/>
    <w:rsid w:val="7E184F85"/>
    <w:rsid w:val="7F0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jc w:val="left"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2021-01-14T02:35:00Z</dcterms:created>
  <dc:creator>lenovo</dc:creator>
  <cp:lastModifiedBy>lenovo</cp:lastModifiedBy>
  <cp:lastPrinted>2021-01-15T05:47:00Z</cp:lastPrinted>
  <dcterms:modified xsi:type="dcterms:W3CDTF">2021-01-15T06:31:01Z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