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kern w:val="0"/>
          <w:sz w:val="44"/>
          <w:szCs w:val="44"/>
          <w:lang w:eastAsia="zh-CN"/>
        </w:rPr>
      </w:pPr>
      <w:r>
        <w:rPr>
          <w:rFonts w:hint="eastAsia" w:ascii="方正小标宋简体" w:eastAsia="方正小标宋简体"/>
          <w:kern w:val="0"/>
          <w:sz w:val="44"/>
          <w:szCs w:val="44"/>
        </w:rPr>
        <w:t>宁波市镇海区</w:t>
      </w:r>
      <w:r>
        <w:rPr>
          <w:rFonts w:hint="eastAsia" w:ascii="方正小标宋简体" w:eastAsia="方正小标宋简体"/>
          <w:kern w:val="0"/>
          <w:sz w:val="44"/>
          <w:szCs w:val="44"/>
          <w:lang w:eastAsia="zh-CN"/>
        </w:rPr>
        <w:t>招商中心</w:t>
      </w:r>
    </w:p>
    <w:p>
      <w:pPr>
        <w:spacing w:line="560" w:lineRule="exact"/>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202</w:t>
      </w:r>
      <w:r>
        <w:rPr>
          <w:rFonts w:hint="eastAsia" w:ascii="方正小标宋简体" w:eastAsia="方正小标宋简体"/>
          <w:kern w:val="0"/>
          <w:sz w:val="44"/>
          <w:szCs w:val="44"/>
          <w:lang w:val="en-US" w:eastAsia="zh-CN"/>
        </w:rPr>
        <w:t>2</w:t>
      </w:r>
      <w:r>
        <w:rPr>
          <w:rFonts w:hint="eastAsia" w:ascii="方正小标宋简体" w:eastAsia="方正小标宋简体"/>
          <w:kern w:val="0"/>
          <w:sz w:val="44"/>
          <w:szCs w:val="44"/>
        </w:rPr>
        <w:t>年度政府信息公开工作年度报告</w:t>
      </w:r>
    </w:p>
    <w:p>
      <w:pPr>
        <w:spacing w:line="500" w:lineRule="exact"/>
        <w:rPr>
          <w:rFonts w:hint="eastAsia"/>
          <w:sz w:val="21"/>
          <w:szCs w:val="21"/>
        </w:rPr>
      </w:pPr>
    </w:p>
    <w:p>
      <w:pPr>
        <w:keepNext w:val="0"/>
        <w:keepLines w:val="0"/>
        <w:pageBreakBefore w:val="0"/>
        <w:widowControl/>
        <w:kinsoku/>
        <w:wordWrap/>
        <w:overflowPunct/>
        <w:topLinePunct w:val="0"/>
        <w:autoSpaceDE/>
        <w:autoSpaceDN/>
        <w:bidi w:val="0"/>
        <w:adjustRightInd/>
        <w:snapToGrid/>
        <w:spacing w:line="500" w:lineRule="exact"/>
        <w:ind w:left="320" w:leftChars="100" w:firstLine="640" w:firstLineChars="200"/>
        <w:textAlignment w:val="auto"/>
        <w:rPr>
          <w:rFonts w:hint="eastAsia" w:ascii="Times New Roman" w:hAnsi="Times New Roman" w:cs="Times New Roman"/>
          <w:color w:val="000000" w:themeColor="text1"/>
          <w:sz w:val="32"/>
          <w:szCs w:val="32"/>
          <w:lang w:eastAsia="zh-CN"/>
          <w14:textFill>
            <w14:solidFill>
              <w14:schemeClr w14:val="tx1"/>
            </w14:solidFill>
          </w14:textFill>
        </w:rPr>
      </w:pPr>
      <w:r>
        <w:rPr>
          <w:rFonts w:hint="eastAsia" w:ascii="Times New Roman" w:hAnsi="Times New Roman" w:cs="Times New Roman"/>
          <w:color w:val="000000" w:themeColor="text1"/>
          <w:sz w:val="32"/>
          <w:szCs w:val="32"/>
          <w:lang w:val="en-US" w:eastAsia="zh-CN"/>
          <w14:textFill>
            <w14:solidFill>
              <w14:schemeClr w14:val="tx1"/>
            </w14:solidFill>
          </w14:textFill>
        </w:rPr>
        <w:t>编制说明：本年度报告根据《中华人民共和国政府信息公开条例》（国务院令第711号）和</w:t>
      </w:r>
      <w:r>
        <w:rPr>
          <w:rFonts w:hint="eastAsia"/>
          <w:color w:val="000000" w:themeColor="text1"/>
          <w:spacing w:val="-4"/>
          <w:kern w:val="2"/>
          <w:sz w:val="32"/>
          <w:szCs w:val="32"/>
          <w:lang w:val="en-US" w:eastAsia="zh-CN"/>
          <w14:textFill>
            <w14:solidFill>
              <w14:schemeClr w14:val="tx1"/>
            </w14:solidFill>
          </w14:textFill>
        </w:rPr>
        <w:t>《国务院办公厅政府信息与政务公</w:t>
      </w:r>
      <w:bookmarkStart w:id="0" w:name="_GoBack"/>
      <w:bookmarkEnd w:id="0"/>
      <w:r>
        <w:rPr>
          <w:rFonts w:hint="eastAsia"/>
          <w:color w:val="000000" w:themeColor="text1"/>
          <w:spacing w:val="-4"/>
          <w:kern w:val="2"/>
          <w:sz w:val="32"/>
          <w:szCs w:val="32"/>
          <w:lang w:val="en-US" w:eastAsia="zh-CN"/>
          <w14:textFill>
            <w14:solidFill>
              <w14:schemeClr w14:val="tx1"/>
            </w14:solidFill>
          </w14:textFill>
        </w:rPr>
        <w:t>开办公室关于印发中华人民共和国政府信息公开工作年度报告格式的通知》（国办公开办函〔2021〕30号</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Times New Roman" w:hAnsi="Times New Roman" w:cs="Times New Roman"/>
          <w:color w:val="000000" w:themeColor="text1"/>
          <w:sz w:val="32"/>
          <w:szCs w:val="32"/>
          <w:lang w:val="en-US" w:eastAsia="zh-CN"/>
          <w14:textFill>
            <w14:solidFill>
              <w14:schemeClr w14:val="tx1"/>
            </w14:solidFill>
          </w14:textFill>
        </w:rPr>
        <w:t>要求，结合宁波市镇海区招商中心202</w:t>
      </w:r>
      <w:r>
        <w:rPr>
          <w:rFonts w:hint="eastAsia" w:cs="Times New Roman"/>
          <w:color w:val="000000" w:themeColor="text1"/>
          <w:sz w:val="32"/>
          <w:szCs w:val="32"/>
          <w:lang w:val="en-US" w:eastAsia="zh-CN"/>
          <w14:textFill>
            <w14:solidFill>
              <w14:schemeClr w14:val="tx1"/>
            </w14:solidFill>
          </w14:textFill>
        </w:rPr>
        <w:t>2</w:t>
      </w:r>
      <w:r>
        <w:rPr>
          <w:rFonts w:hint="eastAsia" w:ascii="Times New Roman" w:hAnsi="Times New Roman" w:cs="Times New Roman"/>
          <w:color w:val="000000" w:themeColor="text1"/>
          <w:sz w:val="32"/>
          <w:szCs w:val="32"/>
          <w:lang w:val="en-US" w:eastAsia="zh-CN"/>
          <w14:textFill>
            <w14:solidFill>
              <w14:schemeClr w14:val="tx1"/>
            </w14:solidFill>
          </w14:textFill>
        </w:rPr>
        <w:t>年度政府信息公开工作实际编制。全文包含</w:t>
      </w:r>
      <w:r>
        <w:rPr>
          <w:rFonts w:hint="eastAsia"/>
          <w:color w:val="000000" w:themeColor="text1"/>
          <w:spacing w:val="-4"/>
          <w:kern w:val="2"/>
          <w:sz w:val="32"/>
          <w:szCs w:val="32"/>
          <w:lang w:val="en-US" w:eastAsia="zh-CN"/>
          <w14:textFill>
            <w14:solidFill>
              <w14:schemeClr w14:val="tx1"/>
            </w14:solidFill>
          </w14:textFill>
        </w:rPr>
        <w:t>总体情况、主动公开政府信息情况、收到和处理政府信息公开申请情况、政府信息公开行政复议和行政诉讼情况、存在的主要问题及改进情况、其他需要报告的事项</w:t>
      </w:r>
      <w:r>
        <w:rPr>
          <w:rFonts w:hint="eastAsia" w:ascii="Times New Roman" w:hAnsi="Times New Roman" w:cs="Times New Roman"/>
          <w:color w:val="000000" w:themeColor="text1"/>
          <w:sz w:val="32"/>
          <w:szCs w:val="32"/>
          <w:lang w:val="en-US" w:eastAsia="zh-CN"/>
          <w14:textFill>
            <w14:solidFill>
              <w14:schemeClr w14:val="tx1"/>
            </w14:solidFill>
          </w14:textFill>
        </w:rPr>
        <w:t>六个方面。</w:t>
      </w:r>
      <w:r>
        <w:rPr>
          <w:rFonts w:hint="eastAsia" w:ascii="Times New Roman" w:hAnsi="Times New Roman" w:cs="Times New Roman"/>
          <w:color w:val="000000" w:themeColor="text1"/>
          <w:sz w:val="32"/>
          <w:szCs w:val="32"/>
          <w:lang w:eastAsia="zh-CN"/>
          <w14:textFill>
            <w14:solidFill>
              <w14:schemeClr w14:val="tx1"/>
            </w14:solidFill>
          </w14:textFill>
        </w:rPr>
        <w:t>本报告中所列数据的统计期限从202</w:t>
      </w:r>
      <w:r>
        <w:rPr>
          <w:rFonts w:hint="eastAsia" w:cs="Times New Roman"/>
          <w:color w:val="000000" w:themeColor="text1"/>
          <w:sz w:val="32"/>
          <w:szCs w:val="32"/>
          <w:lang w:val="en-US" w:eastAsia="zh-CN"/>
          <w14:textFill>
            <w14:solidFill>
              <w14:schemeClr w14:val="tx1"/>
            </w14:solidFill>
          </w14:textFill>
        </w:rPr>
        <w:t>2</w:t>
      </w:r>
      <w:r>
        <w:rPr>
          <w:rFonts w:hint="eastAsia" w:ascii="Times New Roman" w:hAnsi="Times New Roman" w:cs="Times New Roman"/>
          <w:color w:val="000000" w:themeColor="text1"/>
          <w:sz w:val="32"/>
          <w:szCs w:val="32"/>
          <w:lang w:eastAsia="zh-CN"/>
          <w14:textFill>
            <w14:solidFill>
              <w14:schemeClr w14:val="tx1"/>
            </w14:solidFill>
          </w14:textFill>
        </w:rPr>
        <w:t>年1月1日到1</w:t>
      </w:r>
      <w:r>
        <w:rPr>
          <w:rFonts w:hint="eastAsia" w:ascii="Times New Roman" w:hAnsi="Times New Roman" w:cs="Times New Roman"/>
          <w:color w:val="000000" w:themeColor="text1"/>
          <w:sz w:val="32"/>
          <w:szCs w:val="32"/>
          <w:lang w:val="en-US" w:eastAsia="zh-CN"/>
          <w14:textFill>
            <w14:solidFill>
              <w14:schemeClr w14:val="tx1"/>
            </w14:solidFill>
          </w14:textFill>
        </w:rPr>
        <w:t>2</w:t>
      </w:r>
      <w:r>
        <w:rPr>
          <w:rFonts w:hint="eastAsia" w:ascii="Times New Roman" w:hAnsi="Times New Roman" w:cs="Times New Roman"/>
          <w:color w:val="000000" w:themeColor="text1"/>
          <w:sz w:val="32"/>
          <w:szCs w:val="32"/>
          <w:lang w:eastAsia="zh-CN"/>
          <w14:textFill>
            <w14:solidFill>
              <w14:schemeClr w14:val="tx1"/>
            </w14:solidFill>
          </w14:textFill>
        </w:rPr>
        <w:t>月31日止。</w:t>
      </w:r>
      <w:r>
        <w:rPr>
          <w:rFonts w:hint="eastAsia" w:ascii="仿宋_GB2312" w:hAnsi="华文中宋" w:eastAsia="仿宋_GB2312"/>
          <w:color w:val="000000" w:themeColor="text1"/>
          <w:sz w:val="32"/>
          <w:szCs w:val="32"/>
          <w14:textFill>
            <w14:solidFill>
              <w14:schemeClr w14:val="tx1"/>
            </w14:solidFill>
          </w14:textFill>
        </w:rPr>
        <w:t>现将</w:t>
      </w:r>
      <w:r>
        <w:rPr>
          <w:rFonts w:hint="eastAsia" w:ascii="仿宋_GB2312" w:hAnsi="华文中宋"/>
          <w:color w:val="000000" w:themeColor="text1"/>
          <w:sz w:val="32"/>
          <w:szCs w:val="32"/>
          <w:lang w:eastAsia="zh-CN"/>
          <w14:textFill>
            <w14:solidFill>
              <w14:schemeClr w14:val="tx1"/>
            </w14:solidFill>
          </w14:textFill>
        </w:rPr>
        <w:t>本单位</w:t>
      </w:r>
      <w:r>
        <w:rPr>
          <w:rFonts w:hint="eastAsia" w:ascii="仿宋_GB2312" w:hAnsi="华文中宋" w:eastAsia="仿宋_GB2312"/>
          <w:color w:val="000000" w:themeColor="text1"/>
          <w:sz w:val="32"/>
          <w:szCs w:val="32"/>
          <w14:textFill>
            <w14:solidFill>
              <w14:schemeClr w14:val="tx1"/>
            </w14:solidFill>
          </w14:textFill>
        </w:rPr>
        <w:t>一年来</w:t>
      </w:r>
      <w:r>
        <w:rPr>
          <w:rFonts w:hint="eastAsia" w:ascii="仿宋_GB2312" w:hAnsi="华文中宋"/>
          <w:color w:val="000000" w:themeColor="text1"/>
          <w:sz w:val="32"/>
          <w:szCs w:val="32"/>
          <w:lang w:eastAsia="zh-CN"/>
          <w14:textFill>
            <w14:solidFill>
              <w14:schemeClr w14:val="tx1"/>
            </w14:solidFill>
          </w14:textFill>
        </w:rPr>
        <w:t>政府信息</w:t>
      </w:r>
      <w:r>
        <w:rPr>
          <w:rFonts w:hint="eastAsia" w:ascii="仿宋_GB2312" w:hAnsi="华文中宋" w:eastAsia="仿宋_GB2312"/>
          <w:color w:val="000000" w:themeColor="text1"/>
          <w:sz w:val="32"/>
          <w:szCs w:val="32"/>
          <w14:textFill>
            <w14:solidFill>
              <w14:schemeClr w14:val="tx1"/>
            </w14:solidFill>
          </w14:textFill>
        </w:rPr>
        <w:t>公开情况报告如下：</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一、总体情况</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24" w:firstLineChars="200"/>
        <w:jc w:val="both"/>
        <w:textAlignment w:val="auto"/>
        <w:rPr>
          <w:rFonts w:hint="eastAsia" w:ascii="Times New Roman" w:hAnsi="Times New Roman" w:eastAsia="仿宋_GB2312" w:cs="Times New Roman"/>
          <w:color w:val="000000" w:themeColor="text1"/>
          <w:spacing w:val="-4"/>
          <w:kern w:val="2"/>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spacing w:val="-4"/>
          <w:kern w:val="2"/>
          <w:sz w:val="32"/>
          <w:szCs w:val="32"/>
          <w:lang w:val="en-US" w:eastAsia="zh-CN" w:bidi="ar-SA"/>
          <w14:textFill>
            <w14:solidFill>
              <w14:schemeClr w14:val="tx1"/>
            </w14:solidFill>
          </w14:textFill>
        </w:rPr>
        <w:t>2022年，区招商中心严格按照《中华人民共和国政府信息公开条例》和《宁波市政府信息公开规定》相关要求，严格落实政府信息公开制度，</w:t>
      </w:r>
      <w:r>
        <w:rPr>
          <w:rFonts w:hint="eastAsia" w:cs="Times New Roman"/>
          <w:color w:val="000000" w:themeColor="text1"/>
          <w:spacing w:val="-4"/>
          <w:kern w:val="2"/>
          <w:sz w:val="32"/>
          <w:szCs w:val="32"/>
          <w:lang w:val="en-US" w:eastAsia="zh-CN" w:bidi="ar-SA"/>
          <w14:textFill>
            <w14:solidFill>
              <w14:schemeClr w14:val="tx1"/>
            </w14:solidFill>
          </w14:textFill>
        </w:rPr>
        <w:t>充分聚焦主业主责和社会关注要点，</w:t>
      </w:r>
      <w:r>
        <w:rPr>
          <w:rFonts w:hint="eastAsia" w:ascii="Times New Roman" w:hAnsi="Times New Roman" w:eastAsia="仿宋_GB2312" w:cs="Times New Roman"/>
          <w:color w:val="000000" w:themeColor="text1"/>
          <w:spacing w:val="-4"/>
          <w:kern w:val="2"/>
          <w:sz w:val="32"/>
          <w:szCs w:val="32"/>
          <w:lang w:val="en-US" w:eastAsia="zh-CN" w:bidi="ar-SA"/>
          <w14:textFill>
            <w14:solidFill>
              <w14:schemeClr w14:val="tx1"/>
            </w14:solidFill>
          </w14:textFill>
        </w:rPr>
        <w:t>持续推动政府信息公开</w:t>
      </w:r>
      <w:r>
        <w:rPr>
          <w:rFonts w:hint="eastAsia" w:cs="Times New Roman"/>
          <w:color w:val="000000" w:themeColor="text1"/>
          <w:spacing w:val="-4"/>
          <w:kern w:val="2"/>
          <w:sz w:val="32"/>
          <w:szCs w:val="32"/>
          <w:lang w:val="en-US" w:eastAsia="zh-CN" w:bidi="ar-SA"/>
          <w14:textFill>
            <w14:solidFill>
              <w14:schemeClr w14:val="tx1"/>
            </w14:solidFill>
          </w14:textFill>
        </w:rPr>
        <w:t>的</w:t>
      </w:r>
      <w:r>
        <w:rPr>
          <w:rFonts w:hint="eastAsia" w:ascii="Times New Roman" w:hAnsi="Times New Roman" w:eastAsia="仿宋_GB2312" w:cs="Times New Roman"/>
          <w:color w:val="000000" w:themeColor="text1"/>
          <w:spacing w:val="-4"/>
          <w:kern w:val="2"/>
          <w:sz w:val="32"/>
          <w:szCs w:val="32"/>
          <w:lang w:val="en-US" w:eastAsia="zh-CN" w:bidi="ar-SA"/>
          <w14:textFill>
            <w14:solidFill>
              <w14:schemeClr w14:val="tx1"/>
            </w14:solidFill>
          </w14:textFill>
        </w:rPr>
        <w:t>及时性、规范性，有效提高工作的透明度。</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3" w:firstLineChars="200"/>
        <w:jc w:val="both"/>
        <w:textAlignment w:val="auto"/>
        <w:rPr>
          <w:rFonts w:hint="eastAsia" w:ascii="楷体_GB2312" w:hAnsi="楷体_GB2312" w:eastAsia="楷体_GB2312" w:cs="楷体_GB2312"/>
          <w:b/>
          <w:bCs/>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（一）主动公开情况</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Times New Roman" w:hAnsi="Times New Roman" w:cs="Times New Roman"/>
          <w:color w:val="000000" w:themeColor="text1"/>
          <w:sz w:val="32"/>
          <w:szCs w:val="32"/>
          <w:lang w:val="en-US" w:eastAsia="zh-CN"/>
          <w14:textFill>
            <w14:solidFill>
              <w14:schemeClr w14:val="tx1"/>
            </w14:solidFill>
          </w14:textFill>
        </w:rPr>
      </w:pPr>
      <w:r>
        <w:rPr>
          <w:rFonts w:hint="eastAsia" w:ascii="Times New Roman" w:hAnsi="Times New Roman" w:cs="Times New Roman"/>
          <w:color w:val="000000" w:themeColor="text1"/>
          <w:sz w:val="32"/>
          <w:szCs w:val="32"/>
          <w:lang w:eastAsia="zh-CN"/>
          <w14:textFill>
            <w14:solidFill>
              <w14:schemeClr w14:val="tx1"/>
            </w14:solidFill>
          </w14:textFill>
        </w:rPr>
        <w:t>主动公开政府信息</w:t>
      </w:r>
      <w:r>
        <w:rPr>
          <w:rFonts w:hint="eastAsia" w:cs="Times New Roman"/>
          <w:color w:val="000000" w:themeColor="text1"/>
          <w:sz w:val="32"/>
          <w:szCs w:val="32"/>
          <w:lang w:val="en-US" w:eastAsia="zh-CN"/>
          <w14:textFill>
            <w14:solidFill>
              <w14:schemeClr w14:val="tx1"/>
            </w14:solidFill>
          </w14:textFill>
        </w:rPr>
        <w:t>63</w:t>
      </w:r>
      <w:r>
        <w:rPr>
          <w:rFonts w:hint="eastAsia" w:ascii="Times New Roman" w:hAnsi="Times New Roman" w:cs="Times New Roman"/>
          <w:color w:val="000000" w:themeColor="text1"/>
          <w:sz w:val="32"/>
          <w:szCs w:val="32"/>
          <w:lang w:eastAsia="zh-CN"/>
          <w14:textFill>
            <w14:solidFill>
              <w14:schemeClr w14:val="tx1"/>
            </w14:solidFill>
          </w14:textFill>
        </w:rPr>
        <w:t>条，其中</w:t>
      </w:r>
      <w:r>
        <w:rPr>
          <w:rFonts w:hint="eastAsia" w:ascii="Times New Roman" w:hAnsi="Times New Roman" w:cs="Times New Roman"/>
          <w:color w:val="000000" w:themeColor="text1"/>
          <w:sz w:val="32"/>
          <w:szCs w:val="32"/>
          <w:lang w:val="en-US" w:eastAsia="zh-CN"/>
          <w14:textFill>
            <w14:solidFill>
              <w14:schemeClr w14:val="tx1"/>
            </w14:solidFill>
          </w14:textFill>
        </w:rPr>
        <w:t>政府网站公开</w:t>
      </w:r>
      <w:r>
        <w:rPr>
          <w:rFonts w:hint="eastAsia" w:cs="Times New Roman"/>
          <w:color w:val="000000" w:themeColor="text1"/>
          <w:sz w:val="32"/>
          <w:szCs w:val="32"/>
          <w:lang w:val="en-US" w:eastAsia="zh-CN"/>
          <w14:textFill>
            <w14:solidFill>
              <w14:schemeClr w14:val="tx1"/>
            </w14:solidFill>
          </w14:textFill>
        </w:rPr>
        <w:t>10</w:t>
      </w:r>
      <w:r>
        <w:rPr>
          <w:rFonts w:hint="eastAsia" w:ascii="Times New Roman" w:hAnsi="Times New Roman" w:cs="Times New Roman"/>
          <w:color w:val="000000" w:themeColor="text1"/>
          <w:sz w:val="32"/>
          <w:szCs w:val="32"/>
          <w:lang w:val="en-US" w:eastAsia="zh-CN"/>
          <w14:textFill>
            <w14:solidFill>
              <w14:schemeClr w14:val="tx1"/>
            </w14:solidFill>
          </w14:textFill>
        </w:rPr>
        <w:t>条，政务微信公开</w:t>
      </w:r>
      <w:r>
        <w:rPr>
          <w:rFonts w:hint="eastAsia" w:cs="Times New Roman"/>
          <w:color w:val="000000" w:themeColor="text1"/>
          <w:sz w:val="32"/>
          <w:szCs w:val="32"/>
          <w:lang w:val="en-US" w:eastAsia="zh-CN"/>
          <w14:textFill>
            <w14:solidFill>
              <w14:schemeClr w14:val="tx1"/>
            </w14:solidFill>
          </w14:textFill>
        </w:rPr>
        <w:t>41</w:t>
      </w:r>
      <w:r>
        <w:rPr>
          <w:rFonts w:hint="eastAsia" w:ascii="Times New Roman" w:hAnsi="Times New Roman" w:cs="Times New Roman"/>
          <w:color w:val="000000" w:themeColor="text1"/>
          <w:sz w:val="32"/>
          <w:szCs w:val="32"/>
          <w:lang w:val="en-US" w:eastAsia="zh-CN"/>
          <w14:textFill>
            <w14:solidFill>
              <w14:schemeClr w14:val="tx1"/>
            </w14:solidFill>
          </w14:textFill>
        </w:rPr>
        <w:t>条，在</w:t>
      </w:r>
      <w:r>
        <w:rPr>
          <w:rFonts w:hint="eastAsia" w:cs="Times New Roman"/>
          <w:color w:val="000000" w:themeColor="text1"/>
          <w:sz w:val="32"/>
          <w:szCs w:val="32"/>
          <w:lang w:val="en-US" w:eastAsia="zh-CN"/>
          <w14:textFill>
            <w14:solidFill>
              <w14:schemeClr w14:val="tx1"/>
            </w14:solidFill>
          </w14:textFill>
        </w:rPr>
        <w:t>今日镇海</w:t>
      </w:r>
      <w:r>
        <w:rPr>
          <w:rFonts w:hint="eastAsia" w:ascii="Times New Roman" w:hAnsi="Times New Roman" w:cs="Times New Roman"/>
          <w:color w:val="000000" w:themeColor="text1"/>
          <w:sz w:val="32"/>
          <w:szCs w:val="32"/>
          <w:lang w:val="en-US" w:eastAsia="zh-CN"/>
          <w14:textFill>
            <w14:solidFill>
              <w14:schemeClr w14:val="tx1"/>
            </w14:solidFill>
          </w14:textFill>
        </w:rPr>
        <w:t>、镇灵通等新媒体平台公开</w:t>
      </w:r>
      <w:r>
        <w:rPr>
          <w:rFonts w:hint="eastAsia" w:cs="Times New Roman"/>
          <w:color w:val="000000" w:themeColor="text1"/>
          <w:sz w:val="32"/>
          <w:szCs w:val="32"/>
          <w:lang w:val="en-US" w:eastAsia="zh-CN"/>
          <w14:textFill>
            <w14:solidFill>
              <w14:schemeClr w14:val="tx1"/>
            </w14:solidFill>
          </w14:textFill>
        </w:rPr>
        <w:t>12</w:t>
      </w:r>
      <w:r>
        <w:rPr>
          <w:rFonts w:hint="eastAsia" w:ascii="Times New Roman" w:hAnsi="Times New Roman" w:cs="Times New Roman"/>
          <w:color w:val="000000" w:themeColor="text1"/>
          <w:sz w:val="32"/>
          <w:szCs w:val="32"/>
          <w:lang w:val="en-US" w:eastAsia="zh-CN"/>
          <w14:textFill>
            <w14:solidFill>
              <w14:schemeClr w14:val="tx1"/>
            </w14:solidFill>
          </w14:textFill>
        </w:rPr>
        <w:t>条。</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3" w:firstLineChars="200"/>
        <w:jc w:val="both"/>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（二）依申请公开情况</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Times New Roman" w:hAnsi="Times New Roman" w:cs="Times New Roman"/>
          <w:color w:val="000000" w:themeColor="text1"/>
          <w:sz w:val="32"/>
          <w:szCs w:val="32"/>
          <w:lang w:val="en-US" w:eastAsia="zh-CN"/>
          <w14:textFill>
            <w14:solidFill>
              <w14:schemeClr w14:val="tx1"/>
            </w14:solidFill>
          </w14:textFill>
        </w:rPr>
      </w:pPr>
      <w:r>
        <w:rPr>
          <w:rFonts w:hint="eastAsia" w:ascii="Times New Roman" w:hAnsi="Times New Roman" w:cs="Times New Roman"/>
          <w:color w:val="000000" w:themeColor="text1"/>
          <w:sz w:val="32"/>
          <w:szCs w:val="32"/>
          <w:lang w:val="en-US" w:eastAsia="zh-CN"/>
          <w14:textFill>
            <w14:solidFill>
              <w14:schemeClr w14:val="tx1"/>
            </w14:solidFill>
          </w14:textFill>
        </w:rPr>
        <w:t>202</w:t>
      </w:r>
      <w:r>
        <w:rPr>
          <w:rFonts w:hint="eastAsia" w:cs="Times New Roman"/>
          <w:color w:val="000000" w:themeColor="text1"/>
          <w:sz w:val="32"/>
          <w:szCs w:val="32"/>
          <w:lang w:val="en-US" w:eastAsia="zh-CN"/>
          <w14:textFill>
            <w14:solidFill>
              <w14:schemeClr w14:val="tx1"/>
            </w14:solidFill>
          </w14:textFill>
        </w:rPr>
        <w:t>2</w:t>
      </w:r>
      <w:r>
        <w:rPr>
          <w:rFonts w:hint="eastAsia" w:ascii="Times New Roman" w:hAnsi="Times New Roman" w:cs="Times New Roman"/>
          <w:color w:val="000000" w:themeColor="text1"/>
          <w:sz w:val="32"/>
          <w:szCs w:val="32"/>
          <w:lang w:val="en-US" w:eastAsia="zh-CN"/>
          <w14:textFill>
            <w14:solidFill>
              <w14:schemeClr w14:val="tx1"/>
            </w14:solidFill>
          </w14:textFill>
        </w:rPr>
        <w:t>年未收到政府信息公开申请。</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3"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（三）政府信息管理情况</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中心</w:t>
      </w:r>
      <w:r>
        <w:rPr>
          <w:rFonts w:hint="eastAsia" w:ascii="仿宋_GB2312" w:hAnsi="仿宋_GB2312" w:eastAsia="仿宋_GB2312" w:cs="仿宋_GB2312"/>
          <w:color w:val="000000" w:themeColor="text1"/>
          <w:sz w:val="32"/>
          <w:szCs w:val="32"/>
          <w14:textFill>
            <w14:solidFill>
              <w14:schemeClr w14:val="tx1"/>
            </w14:solidFill>
          </w14:textFill>
        </w:rPr>
        <w:t>依托区政府办提供的网上信息发布平台</w:t>
      </w:r>
      <w:r>
        <w:rPr>
          <w:rFonts w:hint="eastAsia" w:ascii="仿宋_GB2312" w:hAnsi="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建立本</w:t>
      </w:r>
      <w:r>
        <w:rPr>
          <w:rFonts w:hint="eastAsia" w:ascii="仿宋_GB2312" w:hAnsi="仿宋_GB2312" w:eastAsia="仿宋_GB2312" w:cs="仿宋_GB2312"/>
          <w:color w:val="000000" w:themeColor="text1"/>
          <w:sz w:val="32"/>
          <w:szCs w:val="32"/>
          <w:lang w:eastAsia="zh-CN"/>
          <w14:textFill>
            <w14:solidFill>
              <w14:schemeClr w14:val="tx1"/>
            </w14:solidFill>
          </w14:textFill>
        </w:rPr>
        <w:t>中心</w:t>
      </w:r>
      <w:r>
        <w:rPr>
          <w:rFonts w:hint="eastAsia" w:ascii="仿宋_GB2312" w:hAnsi="仿宋_GB2312" w:eastAsia="仿宋_GB2312" w:cs="仿宋_GB2312"/>
          <w:color w:val="000000" w:themeColor="text1"/>
          <w:sz w:val="32"/>
          <w:szCs w:val="32"/>
          <w14:textFill>
            <w14:solidFill>
              <w14:schemeClr w14:val="tx1"/>
            </w14:solidFill>
          </w14:textFill>
        </w:rPr>
        <w:t>政府信息公开的目录和指南</w:t>
      </w:r>
      <w:r>
        <w:rPr>
          <w:rFonts w:hint="eastAsia" w:ascii="仿宋_GB2312" w:hAnsi="仿宋_GB2312" w:cs="仿宋_GB2312"/>
          <w:color w:val="000000" w:themeColor="text1"/>
          <w:sz w:val="32"/>
          <w:szCs w:val="32"/>
          <w:lang w:eastAsia="zh-CN"/>
          <w14:textFill>
            <w14:solidFill>
              <w14:schemeClr w14:val="tx1"/>
            </w14:solidFill>
          </w14:textFill>
        </w:rPr>
        <w:t>，</w:t>
      </w:r>
      <w:r>
        <w:rPr>
          <w:rFonts w:ascii="仿宋_GB2312" w:hAnsi="宋体" w:eastAsia="仿宋_GB2312" w:cs="仿宋_GB2312"/>
          <w:i w:val="0"/>
          <w:caps w:val="0"/>
          <w:color w:val="000000" w:themeColor="text1"/>
          <w:spacing w:val="0"/>
          <w:sz w:val="32"/>
          <w:szCs w:val="32"/>
          <w14:textFill>
            <w14:solidFill>
              <w14:schemeClr w14:val="tx1"/>
            </w14:solidFill>
          </w14:textFill>
        </w:rPr>
        <w:t>进一步明确责任、分解任务、抓好落实</w:t>
      </w:r>
      <w:r>
        <w:rPr>
          <w:rFonts w:hint="eastAsia" w:ascii="仿宋_GB2312" w:hAnsi="宋体" w:cs="仿宋_GB2312"/>
          <w:i w:val="0"/>
          <w:caps w:val="0"/>
          <w:color w:val="000000" w:themeColor="text1"/>
          <w:spacing w:val="0"/>
          <w:sz w:val="32"/>
          <w:szCs w:val="32"/>
          <w:lang w:val="en-US" w:eastAsia="zh-CN"/>
          <w14:textFill>
            <w14:solidFill>
              <w14:schemeClr w14:val="tx1"/>
            </w14:solidFill>
          </w14:textFill>
        </w:rPr>
        <w:t>,定期对工作情况、人事变动、财务预决算等重要信息进行发布</w:t>
      </w:r>
      <w:r>
        <w:rPr>
          <w:rFonts w:ascii="仿宋_GB2312" w:hAnsi="宋体" w:eastAsia="仿宋_GB2312" w:cs="仿宋_GB2312"/>
          <w:i w:val="0"/>
          <w:caps w:val="0"/>
          <w:color w:val="000000" w:themeColor="text1"/>
          <w:spacing w:val="0"/>
          <w:sz w:val="32"/>
          <w:szCs w:val="32"/>
          <w14:textFill>
            <w14:solidFill>
              <w14:schemeClr w14:val="tx1"/>
            </w14:solidFill>
          </w14:textFill>
        </w:rPr>
        <w:t>，接受社会监督，满足公众对行业信息需求。</w:t>
      </w:r>
      <w:r>
        <w:rPr>
          <w:rFonts w:hint="eastAsia" w:ascii="仿宋_GB2312" w:hAnsi="宋体" w:cs="仿宋_GB2312"/>
          <w:i w:val="0"/>
          <w:caps w:val="0"/>
          <w:color w:val="000000" w:themeColor="text1"/>
          <w:spacing w:val="0"/>
          <w:sz w:val="32"/>
          <w:szCs w:val="32"/>
          <w:lang w:eastAsia="zh-CN"/>
          <w14:textFill>
            <w14:solidFill>
              <w14:schemeClr w14:val="tx1"/>
            </w14:solidFill>
          </w14:textFill>
        </w:rPr>
        <w:t>同时</w:t>
      </w:r>
      <w:r>
        <w:rPr>
          <w:rFonts w:ascii="仿宋_GB2312" w:hAnsi="宋体" w:eastAsia="仿宋_GB2312" w:cs="仿宋_GB2312"/>
          <w:i w:val="0"/>
          <w:caps w:val="0"/>
          <w:color w:val="000000" w:themeColor="text1"/>
          <w:spacing w:val="0"/>
          <w:sz w:val="32"/>
          <w:szCs w:val="32"/>
          <w14:textFill>
            <w14:solidFill>
              <w14:schemeClr w14:val="tx1"/>
            </w14:solidFill>
          </w14:textFill>
        </w:rPr>
        <w:t>加强对公开信息的保密审查，强化干部的责任意识。</w:t>
      </w:r>
    </w:p>
    <w:p>
      <w:pPr>
        <w:keepNext w:val="0"/>
        <w:keepLines w:val="0"/>
        <w:pageBreakBefore w:val="0"/>
        <w:widowControl/>
        <w:kinsoku/>
        <w:wordWrap/>
        <w:overflowPunct/>
        <w:topLinePunct w:val="0"/>
        <w:autoSpaceDE/>
        <w:autoSpaceDN/>
        <w:bidi w:val="0"/>
        <w:adjustRightInd/>
        <w:snapToGrid/>
        <w:spacing w:line="500" w:lineRule="exact"/>
        <w:ind w:firstLine="643" w:firstLineChars="200"/>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（四）政府信息公开平台建设情况</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24" w:firstLineChars="200"/>
        <w:jc w:val="both"/>
        <w:textAlignment w:val="auto"/>
        <w:rPr>
          <w:rFonts w:hint="eastAsia" w:ascii="仿宋_GB2312" w:hAnsi="仿宋_GB2312" w:cs="仿宋_GB2312"/>
          <w:snapToGrid w:val="0"/>
          <w:color w:val="000000" w:themeColor="text1"/>
          <w:spacing w:val="-4"/>
          <w:sz w:val="32"/>
          <w:szCs w:val="32"/>
          <w:shd w:val="clear" w:color="auto" w:fill="FFFFFF"/>
          <w:lang w:val="en-US" w:eastAsia="zh-CN"/>
          <w14:textFill>
            <w14:solidFill>
              <w14:schemeClr w14:val="tx1"/>
            </w14:solidFill>
          </w14:textFill>
        </w:rPr>
      </w:pPr>
      <w:r>
        <w:rPr>
          <w:rFonts w:hint="eastAsia" w:ascii="仿宋_GB2312" w:hAnsi="仿宋_GB2312" w:cs="仿宋_GB2312"/>
          <w:snapToGrid w:val="0"/>
          <w:color w:val="000000" w:themeColor="text1"/>
          <w:spacing w:val="-4"/>
          <w:sz w:val="32"/>
          <w:szCs w:val="32"/>
          <w:shd w:val="clear" w:color="auto" w:fill="FFFFFF"/>
          <w:lang w:val="en-US" w:eastAsia="zh-CN"/>
          <w14:textFill>
            <w14:solidFill>
              <w14:schemeClr w14:val="tx1"/>
            </w14:solidFill>
          </w14:textFill>
        </w:rPr>
        <w:t>依托区政府信息公开平台参与内容更新管理和板块维护。</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3" w:firstLineChars="200"/>
        <w:jc w:val="both"/>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（五）政务新媒体管理方面</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hAnsi="仿宋_GB2312" w:cs="仿宋_GB2312"/>
          <w:color w:val="000000" w:themeColor="text1"/>
          <w:sz w:val="32"/>
          <w:szCs w:val="32"/>
          <w:lang w:val="en-US" w:eastAsia="zh-CN"/>
          <w14:textFill>
            <w14:solidFill>
              <w14:schemeClr w14:val="tx1"/>
            </w14:solidFill>
          </w14:textFill>
        </w:rPr>
      </w:pPr>
      <w:r>
        <w:rPr>
          <w:rFonts w:hint="eastAsia" w:ascii="仿宋_GB2312" w:hAnsi="仿宋_GB2312" w:cs="仿宋_GB2312"/>
          <w:color w:val="000000" w:themeColor="text1"/>
          <w:sz w:val="32"/>
          <w:szCs w:val="32"/>
          <w:lang w:val="en-US" w:eastAsia="zh-CN"/>
          <w14:textFill>
            <w14:solidFill>
              <w14:schemeClr w14:val="tx1"/>
            </w14:solidFill>
          </w14:textFill>
        </w:rPr>
        <w:t>在镇灵通新媒体平台上开设单位专栏，与第三方建立合作关系，推动单位重点工作在新媒体平台上定期发布。</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3" w:firstLineChars="200"/>
        <w:jc w:val="both"/>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（六）监督保障方面</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hAnsi="宋体" w:cs="仿宋_GB2312"/>
          <w:i w:val="0"/>
          <w:caps w:val="0"/>
          <w:color w:val="000000" w:themeColor="text1"/>
          <w:spacing w:val="0"/>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做好组织领导。</w:t>
      </w:r>
      <w:r>
        <w:rPr>
          <w:rFonts w:ascii="仿宋_GB2312" w:hAnsi="宋体" w:eastAsia="仿宋_GB2312" w:cs="仿宋_GB2312"/>
          <w:i w:val="0"/>
          <w:caps w:val="0"/>
          <w:color w:val="000000" w:themeColor="text1"/>
          <w:spacing w:val="0"/>
          <w:sz w:val="32"/>
          <w:szCs w:val="32"/>
          <w14:textFill>
            <w14:solidFill>
              <w14:schemeClr w14:val="tx1"/>
            </w14:solidFill>
          </w14:textFill>
        </w:rPr>
        <w:t>根据领导分工、科室调整，以及人员变动情况</w:t>
      </w:r>
      <w:r>
        <w:rPr>
          <w:rFonts w:hint="eastAsia" w:ascii="仿宋_GB2312" w:hAnsi="宋体" w:cs="仿宋_GB2312"/>
          <w:i w:val="0"/>
          <w:caps w:val="0"/>
          <w:color w:val="000000" w:themeColor="text1"/>
          <w:spacing w:val="0"/>
          <w:sz w:val="32"/>
          <w:szCs w:val="32"/>
          <w:lang w:eastAsia="zh-CN"/>
          <w14:textFill>
            <w14:solidFill>
              <w14:schemeClr w14:val="tx1"/>
            </w14:solidFill>
          </w14:textFill>
        </w:rPr>
        <w:t>，加强政府信息公开组织领导，明确分管领导牵头、办公室推进、各科室协同配合的工作体系，确保各业务领域应公开信息尽公开；</w:t>
      </w:r>
      <w:r>
        <w:rPr>
          <w:rFonts w:hint="eastAsia" w:ascii="楷体_GB2312" w:hAnsi="楷体_GB2312" w:eastAsia="楷体_GB2312" w:cs="楷体_GB2312"/>
          <w:i w:val="0"/>
          <w:caps w:val="0"/>
          <w:color w:val="000000" w:themeColor="text1"/>
          <w:spacing w:val="0"/>
          <w:sz w:val="32"/>
          <w:szCs w:val="32"/>
          <w:lang w:eastAsia="zh-CN"/>
          <w14:textFill>
            <w14:solidFill>
              <w14:schemeClr w14:val="tx1"/>
            </w14:solidFill>
          </w14:textFill>
        </w:rPr>
        <w:t>开展教育培训。</w:t>
      </w:r>
      <w:r>
        <w:rPr>
          <w:rFonts w:hint="eastAsia" w:ascii="仿宋_GB2312" w:hAnsi="宋体" w:cs="仿宋_GB2312"/>
          <w:i w:val="0"/>
          <w:caps w:val="0"/>
          <w:color w:val="000000" w:themeColor="text1"/>
          <w:spacing w:val="0"/>
          <w:sz w:val="32"/>
          <w:szCs w:val="32"/>
          <w:lang w:eastAsia="zh-CN"/>
          <w14:textFill>
            <w14:solidFill>
              <w14:schemeClr w14:val="tx1"/>
            </w14:solidFill>
          </w14:textFill>
        </w:rPr>
        <w:t>及时传达全区政府信息公开工会会议、培训会议精神，定期在全体干部大会、月度例会等重要会议上部署政府信息公开相关工作，不断筑牢全体干部思想意识；</w:t>
      </w:r>
      <w:r>
        <w:rPr>
          <w:rFonts w:hint="eastAsia" w:ascii="楷体_GB2312" w:hAnsi="楷体_GB2312" w:eastAsia="楷体_GB2312" w:cs="楷体_GB2312"/>
          <w:i w:val="0"/>
          <w:caps w:val="0"/>
          <w:color w:val="000000" w:themeColor="text1"/>
          <w:spacing w:val="0"/>
          <w:sz w:val="32"/>
          <w:szCs w:val="32"/>
          <w:lang w:eastAsia="zh-CN"/>
          <w14:textFill>
            <w14:solidFill>
              <w14:schemeClr w14:val="tx1"/>
            </w14:solidFill>
          </w14:textFill>
        </w:rPr>
        <w:t>加强考核督促。</w:t>
      </w:r>
      <w:r>
        <w:rPr>
          <w:rFonts w:hint="eastAsia" w:ascii="仿宋_GB2312" w:hAnsi="宋体" w:cs="仿宋_GB2312"/>
          <w:i w:val="0"/>
          <w:caps w:val="0"/>
          <w:color w:val="000000" w:themeColor="text1"/>
          <w:spacing w:val="0"/>
          <w:sz w:val="32"/>
          <w:szCs w:val="32"/>
          <w:lang w:eastAsia="zh-CN"/>
          <w14:textFill>
            <w14:solidFill>
              <w14:schemeClr w14:val="tx1"/>
            </w14:solidFill>
          </w14:textFill>
        </w:rPr>
        <w:t>将政府信息公开工作作为年度考核评价的重要依据，由办公室牵头对各业务科室的人员落实、信息公开上报等进行汇总、考核以及评价，并及时向党组反馈相关情况。</w:t>
      </w:r>
    </w:p>
    <w:p>
      <w:pPr>
        <w:pStyle w:val="7"/>
        <w:widowControl/>
        <w:spacing w:before="0" w:beforeAutospacing="0" w:after="0" w:afterAutospacing="0" w:line="560" w:lineRule="exact"/>
        <w:ind w:firstLine="640" w:firstLineChars="200"/>
        <w:jc w:val="both"/>
        <w:rPr>
          <w:rFonts w:hint="eastAsia" w:ascii="黑体" w:hAnsi="黑体" w:eastAsia="黑体" w:cs="Times New Roman"/>
          <w:szCs w:val="32"/>
        </w:rPr>
      </w:pPr>
      <w:r>
        <w:rPr>
          <w:rFonts w:hint="eastAsia" w:ascii="黑体" w:hAnsi="黑体" w:eastAsia="黑体" w:cs="Times New Roman"/>
          <w:szCs w:val="32"/>
        </w:rPr>
        <w:t>二、主动公开政府信息情况</w:t>
      </w:r>
    </w:p>
    <w:tbl>
      <w:tblPr>
        <w:tblStyle w:val="8"/>
        <w:tblpPr w:leftFromText="180" w:rightFromText="180" w:vertAnchor="text" w:horzAnchor="page" w:tblpXSpec="center" w:tblpY="85"/>
        <w:tblOverlap w:val="never"/>
        <w:tblW w:w="9221" w:type="dxa"/>
        <w:tblInd w:w="0" w:type="dxa"/>
        <w:tblLayout w:type="fixed"/>
        <w:tblCellMar>
          <w:top w:w="0" w:type="dxa"/>
          <w:left w:w="0" w:type="dxa"/>
          <w:bottom w:w="0" w:type="dxa"/>
          <w:right w:w="0" w:type="dxa"/>
        </w:tblCellMar>
      </w:tblPr>
      <w:tblGrid>
        <w:gridCol w:w="1953"/>
        <w:gridCol w:w="2435"/>
        <w:gridCol w:w="2435"/>
        <w:gridCol w:w="2398"/>
      </w:tblGrid>
      <w:tr>
        <w:tblPrEx>
          <w:tblLayout w:type="fixed"/>
          <w:tblCellMar>
            <w:top w:w="0" w:type="dxa"/>
            <w:left w:w="0" w:type="dxa"/>
            <w:bottom w:w="0" w:type="dxa"/>
            <w:right w:w="0" w:type="dxa"/>
          </w:tblCellMar>
        </w:tblPrEx>
        <w:trPr>
          <w:trHeight w:val="340" w:hRule="atLeast"/>
        </w:trPr>
        <w:tc>
          <w:tcPr>
            <w:tcW w:w="9221"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spacing w:line="300" w:lineRule="exact"/>
              <w:jc w:val="center"/>
              <w:rPr>
                <w:kern w:val="0"/>
                <w:sz w:val="21"/>
                <w:szCs w:val="21"/>
              </w:rPr>
            </w:pPr>
            <w:r>
              <w:rPr>
                <w:rFonts w:hint="eastAsia"/>
                <w:kern w:val="0"/>
                <w:sz w:val="21"/>
                <w:szCs w:val="21"/>
              </w:rPr>
              <w:t>第二十条第（一）项</w:t>
            </w:r>
          </w:p>
        </w:tc>
      </w:tr>
      <w:tr>
        <w:tblPrEx>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本年制发件数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本年废止件数</w:t>
            </w:r>
          </w:p>
        </w:tc>
        <w:tc>
          <w:tcPr>
            <w:tcW w:w="2398" w:type="dxa"/>
            <w:tcBorders>
              <w:top w:val="single" w:color="auto" w:sz="8" w:space="0"/>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现行有效件数</w:t>
            </w:r>
          </w:p>
        </w:tc>
      </w:tr>
      <w:tr>
        <w:tblPrEx>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 </w:t>
            </w:r>
            <w:r>
              <w:rPr>
                <w:rFonts w:hint="eastAsia"/>
                <w:kern w:val="0"/>
                <w:sz w:val="21"/>
                <w:szCs w:val="21"/>
                <w:lang w:val="en-US" w:eastAsia="zh-CN"/>
              </w:rPr>
              <w:t>0</w:t>
            </w:r>
            <w:r>
              <w:rPr>
                <w:rFonts w:hint="eastAsia"/>
                <w:kern w:val="0"/>
                <w:sz w:val="21"/>
                <w:szCs w:val="21"/>
              </w:rPr>
              <w:t>　</w:t>
            </w:r>
          </w:p>
        </w:tc>
        <w:tc>
          <w:tcPr>
            <w:tcW w:w="2398" w:type="dxa"/>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lang w:val="en-US" w:eastAsia="zh-CN"/>
              </w:rPr>
              <w:t>0</w:t>
            </w:r>
            <w:r>
              <w:rPr>
                <w:kern w:val="0"/>
                <w:sz w:val="21"/>
                <w:szCs w:val="21"/>
              </w:rPr>
              <w:t> </w:t>
            </w:r>
          </w:p>
        </w:tc>
      </w:tr>
      <w:tr>
        <w:tblPrEx>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2398" w:type="dxa"/>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rFonts w:hint="default" w:eastAsia="仿宋_GB2312"/>
                <w:kern w:val="0"/>
                <w:sz w:val="21"/>
                <w:szCs w:val="21"/>
                <w:lang w:val="en-US" w:eastAsia="zh-CN"/>
              </w:rPr>
            </w:pPr>
            <w:r>
              <w:rPr>
                <w:rFonts w:hint="eastAsia"/>
                <w:kern w:val="0"/>
                <w:sz w:val="21"/>
                <w:szCs w:val="21"/>
                <w:lang w:val="en-US" w:eastAsia="zh-CN"/>
              </w:rPr>
              <w:t>0</w:t>
            </w:r>
          </w:p>
        </w:tc>
      </w:tr>
      <w:tr>
        <w:tblPrEx>
          <w:tblLayout w:type="fixed"/>
          <w:tblCellMar>
            <w:top w:w="0" w:type="dxa"/>
            <w:left w:w="0" w:type="dxa"/>
            <w:bottom w:w="0" w:type="dxa"/>
            <w:right w:w="0" w:type="dxa"/>
          </w:tblCellMar>
        </w:tblPrEx>
        <w:trPr>
          <w:trHeight w:val="340" w:hRule="atLeast"/>
        </w:trPr>
        <w:tc>
          <w:tcPr>
            <w:tcW w:w="9221"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spacing w:line="300" w:lineRule="exact"/>
              <w:jc w:val="center"/>
              <w:rPr>
                <w:kern w:val="0"/>
                <w:sz w:val="21"/>
                <w:szCs w:val="21"/>
              </w:rPr>
            </w:pPr>
            <w:r>
              <w:rPr>
                <w:rFonts w:hint="eastAsia"/>
                <w:kern w:val="0"/>
                <w:sz w:val="21"/>
                <w:szCs w:val="21"/>
              </w:rPr>
              <w:t>第二十条第（五）项</w:t>
            </w:r>
          </w:p>
        </w:tc>
      </w:tr>
      <w:tr>
        <w:tblPrEx>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信息内容</w:t>
            </w:r>
          </w:p>
        </w:tc>
        <w:tc>
          <w:tcPr>
            <w:tcW w:w="7268" w:type="dxa"/>
            <w:gridSpan w:val="3"/>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本年处理决定数量</w:t>
            </w:r>
          </w:p>
        </w:tc>
      </w:tr>
      <w:tr>
        <w:tblPrEx>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行政许可</w:t>
            </w:r>
          </w:p>
        </w:tc>
        <w:tc>
          <w:tcPr>
            <w:tcW w:w="7268" w:type="dxa"/>
            <w:gridSpan w:val="3"/>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lang w:val="en-US" w:eastAsia="zh-CN"/>
              </w:rPr>
              <w:t>0</w:t>
            </w:r>
            <w:r>
              <w:rPr>
                <w:kern w:val="0"/>
                <w:sz w:val="21"/>
                <w:szCs w:val="21"/>
              </w:rPr>
              <w:t> </w:t>
            </w:r>
          </w:p>
        </w:tc>
      </w:tr>
      <w:tr>
        <w:tblPrEx>
          <w:tblLayout w:type="fixed"/>
          <w:tblCellMar>
            <w:top w:w="0" w:type="dxa"/>
            <w:left w:w="0" w:type="dxa"/>
            <w:bottom w:w="0" w:type="dxa"/>
            <w:right w:w="0" w:type="dxa"/>
          </w:tblCellMar>
        </w:tblPrEx>
        <w:trPr>
          <w:trHeight w:val="340" w:hRule="atLeast"/>
        </w:trPr>
        <w:tc>
          <w:tcPr>
            <w:tcW w:w="9221"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spacing w:line="300" w:lineRule="exact"/>
              <w:jc w:val="center"/>
              <w:rPr>
                <w:kern w:val="0"/>
                <w:sz w:val="21"/>
                <w:szCs w:val="21"/>
              </w:rPr>
            </w:pPr>
            <w:r>
              <w:rPr>
                <w:rFonts w:hint="eastAsia"/>
                <w:kern w:val="0"/>
                <w:sz w:val="21"/>
                <w:szCs w:val="21"/>
              </w:rPr>
              <w:t>第二十条第（六）项</w:t>
            </w:r>
          </w:p>
        </w:tc>
      </w:tr>
      <w:tr>
        <w:tblPrEx>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信息内容</w:t>
            </w:r>
          </w:p>
        </w:tc>
        <w:tc>
          <w:tcPr>
            <w:tcW w:w="7268"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本年处理决定数量</w:t>
            </w:r>
          </w:p>
        </w:tc>
      </w:tr>
      <w:tr>
        <w:tblPrEx>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行政处罚</w:t>
            </w:r>
          </w:p>
        </w:tc>
        <w:tc>
          <w:tcPr>
            <w:tcW w:w="7268" w:type="dxa"/>
            <w:gridSpan w:val="3"/>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r>
      <w:tr>
        <w:tblPrEx>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行政强制</w:t>
            </w:r>
          </w:p>
        </w:tc>
        <w:tc>
          <w:tcPr>
            <w:tcW w:w="7268" w:type="dxa"/>
            <w:gridSpan w:val="3"/>
            <w:tcBorders>
              <w:top w:val="nil"/>
              <w:left w:val="nil"/>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lang w:val="en-US" w:eastAsia="zh-CN"/>
              </w:rPr>
              <w:t>0</w:t>
            </w:r>
            <w:r>
              <w:rPr>
                <w:rFonts w:hint="eastAsia"/>
                <w:kern w:val="0"/>
                <w:sz w:val="21"/>
                <w:szCs w:val="21"/>
              </w:rPr>
              <w:t>　</w:t>
            </w:r>
          </w:p>
        </w:tc>
      </w:tr>
      <w:tr>
        <w:tblPrEx>
          <w:tblLayout w:type="fixed"/>
          <w:tblCellMar>
            <w:top w:w="0" w:type="dxa"/>
            <w:left w:w="0" w:type="dxa"/>
            <w:bottom w:w="0" w:type="dxa"/>
            <w:right w:w="0" w:type="dxa"/>
          </w:tblCellMar>
        </w:tblPrEx>
        <w:trPr>
          <w:trHeight w:val="340" w:hRule="atLeast"/>
        </w:trPr>
        <w:tc>
          <w:tcPr>
            <w:tcW w:w="9221"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spacing w:line="300" w:lineRule="exact"/>
              <w:jc w:val="center"/>
              <w:rPr>
                <w:kern w:val="0"/>
                <w:sz w:val="21"/>
                <w:szCs w:val="21"/>
              </w:rPr>
            </w:pPr>
            <w:r>
              <w:rPr>
                <w:rFonts w:hint="eastAsia"/>
                <w:kern w:val="0"/>
                <w:sz w:val="21"/>
                <w:szCs w:val="21"/>
              </w:rPr>
              <w:t>第二十条第（八）项</w:t>
            </w:r>
          </w:p>
        </w:tc>
      </w:tr>
      <w:tr>
        <w:tblPrEx>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信息内容</w:t>
            </w:r>
          </w:p>
        </w:tc>
        <w:tc>
          <w:tcPr>
            <w:tcW w:w="7268" w:type="dxa"/>
            <w:gridSpan w:val="3"/>
            <w:tcBorders>
              <w:top w:val="nil"/>
              <w:left w:val="nil"/>
              <w:bottom w:val="single" w:color="auto" w:sz="8" w:space="0"/>
              <w:right w:val="single" w:color="000000"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本年收费金额（单位：万元）</w:t>
            </w:r>
          </w:p>
        </w:tc>
      </w:tr>
      <w:tr>
        <w:tblPrEx>
          <w:tblLayout w:type="fixed"/>
          <w:tblCellMar>
            <w:top w:w="0" w:type="dxa"/>
            <w:left w:w="0" w:type="dxa"/>
            <w:bottom w:w="0" w:type="dxa"/>
            <w:right w:w="0" w:type="dxa"/>
          </w:tblCellMar>
        </w:tblPrEx>
        <w:trPr>
          <w:trHeight w:val="340" w:hRule="atLeast"/>
        </w:trPr>
        <w:tc>
          <w:tcPr>
            <w:tcW w:w="1953" w:type="dxa"/>
            <w:tcBorders>
              <w:top w:val="nil"/>
              <w:left w:val="single" w:color="auto" w:sz="8" w:space="0"/>
              <w:bottom w:val="single" w:color="auto" w:sz="8" w:space="0"/>
              <w:right w:val="single" w:color="auto" w:sz="8" w:space="0"/>
            </w:tcBorders>
            <w:noWrap w:val="0"/>
            <w:tcMar>
              <w:left w:w="57" w:type="dxa"/>
              <w:right w:w="57" w:type="dxa"/>
            </w:tcMar>
            <w:vAlign w:val="center"/>
          </w:tcPr>
          <w:p>
            <w:pPr>
              <w:spacing w:line="300" w:lineRule="exact"/>
              <w:jc w:val="center"/>
              <w:rPr>
                <w:kern w:val="0"/>
                <w:sz w:val="21"/>
                <w:szCs w:val="21"/>
              </w:rPr>
            </w:pPr>
            <w:r>
              <w:rPr>
                <w:rFonts w:hint="eastAsia"/>
                <w:kern w:val="0"/>
                <w:sz w:val="21"/>
                <w:szCs w:val="21"/>
              </w:rPr>
              <w:t>行政事业性收费</w:t>
            </w:r>
          </w:p>
        </w:tc>
        <w:tc>
          <w:tcPr>
            <w:tcW w:w="7268" w:type="dxa"/>
            <w:gridSpan w:val="3"/>
            <w:tcBorders>
              <w:top w:val="nil"/>
              <w:left w:val="nil"/>
              <w:bottom w:val="single" w:color="auto" w:sz="8" w:space="0"/>
              <w:right w:val="single" w:color="000000" w:sz="8" w:space="0"/>
            </w:tcBorders>
            <w:noWrap w:val="0"/>
            <w:tcMar>
              <w:left w:w="57" w:type="dxa"/>
              <w:right w:w="57" w:type="dxa"/>
            </w:tcMar>
            <w:vAlign w:val="center"/>
          </w:tcPr>
          <w:p>
            <w:pPr>
              <w:spacing w:line="300" w:lineRule="exact"/>
              <w:jc w:val="center"/>
              <w:rPr>
                <w:rFonts w:hint="eastAsia" w:eastAsia="仿宋_GB2312"/>
                <w:kern w:val="0"/>
                <w:sz w:val="21"/>
                <w:szCs w:val="21"/>
                <w:lang w:val="en-US" w:eastAsia="zh-CN"/>
              </w:rPr>
            </w:pPr>
            <w:r>
              <w:rPr>
                <w:rFonts w:hint="eastAsia"/>
                <w:kern w:val="0"/>
                <w:sz w:val="21"/>
                <w:szCs w:val="21"/>
                <w:lang w:val="en-US" w:eastAsia="zh-CN"/>
              </w:rPr>
              <w:t>0</w:t>
            </w:r>
          </w:p>
        </w:tc>
      </w:tr>
    </w:tbl>
    <w:p>
      <w:pPr>
        <w:pStyle w:val="7"/>
        <w:widowControl/>
        <w:spacing w:before="0" w:beforeAutospacing="0" w:after="0" w:afterAutospacing="0" w:line="560" w:lineRule="exact"/>
        <w:ind w:firstLine="640" w:firstLineChars="200"/>
        <w:jc w:val="both"/>
        <w:rPr>
          <w:rFonts w:hint="eastAsia" w:ascii="黑体" w:hAnsi="黑体" w:eastAsia="黑体" w:cs="Times New Roman"/>
          <w:szCs w:val="32"/>
        </w:rPr>
      </w:pPr>
    </w:p>
    <w:p>
      <w:pPr>
        <w:pStyle w:val="7"/>
        <w:widowControl/>
        <w:spacing w:before="0" w:beforeAutospacing="0" w:after="0" w:afterAutospacing="0" w:line="560" w:lineRule="exact"/>
        <w:ind w:firstLine="640" w:firstLineChars="200"/>
        <w:jc w:val="both"/>
        <w:rPr>
          <w:rFonts w:hint="eastAsia" w:ascii="黑体" w:hAnsi="黑体" w:eastAsia="黑体" w:cs="Times New Roman"/>
          <w:szCs w:val="32"/>
        </w:rPr>
      </w:pPr>
      <w:r>
        <w:rPr>
          <w:rFonts w:hint="eastAsia" w:ascii="黑体" w:hAnsi="黑体" w:eastAsia="黑体" w:cs="Times New Roman"/>
          <w:szCs w:val="32"/>
        </w:rPr>
        <w:t>三、收到和处理政府信息公开申请情况</w:t>
      </w:r>
    </w:p>
    <w:tbl>
      <w:tblPr>
        <w:tblStyle w:val="8"/>
        <w:tblpPr w:leftFromText="180" w:rightFromText="180" w:vertAnchor="text" w:horzAnchor="page" w:tblpX="1512" w:tblpY="647"/>
        <w:tblOverlap w:val="never"/>
        <w:tblW w:w="9287"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85"/>
        <w:gridCol w:w="959"/>
        <w:gridCol w:w="2630"/>
        <w:gridCol w:w="642"/>
        <w:gridCol w:w="714"/>
        <w:gridCol w:w="714"/>
        <w:gridCol w:w="714"/>
        <w:gridCol w:w="714"/>
        <w:gridCol w:w="714"/>
        <w:gridCol w:w="70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4374" w:type="dxa"/>
            <w:gridSpan w:val="3"/>
            <w:vMerge w:val="restart"/>
            <w:noWrap w:val="0"/>
            <w:tcMar>
              <w:left w:w="108" w:type="dxa"/>
              <w:right w:w="108" w:type="dxa"/>
            </w:tcMar>
            <w:vAlign w:val="center"/>
          </w:tcPr>
          <w:p>
            <w:pPr>
              <w:spacing w:line="240" w:lineRule="exact"/>
              <w:jc w:val="center"/>
              <w:rPr>
                <w:kern w:val="0"/>
                <w:sz w:val="21"/>
                <w:szCs w:val="21"/>
              </w:rPr>
            </w:pPr>
            <w:r>
              <w:rPr>
                <w:kern w:val="0"/>
                <w:sz w:val="21"/>
                <w:szCs w:val="21"/>
              </w:rPr>
              <w:t>（本列数据的勾稽关系为：第一项加第二项之和，等于第三项加第四项之和）</w:t>
            </w:r>
          </w:p>
        </w:tc>
        <w:tc>
          <w:tcPr>
            <w:tcW w:w="4913" w:type="dxa"/>
            <w:gridSpan w:val="7"/>
            <w:noWrap w:val="0"/>
            <w:tcMar>
              <w:left w:w="57" w:type="dxa"/>
              <w:right w:w="57" w:type="dxa"/>
            </w:tcMar>
            <w:vAlign w:val="center"/>
          </w:tcPr>
          <w:p>
            <w:pPr>
              <w:spacing w:line="240" w:lineRule="exact"/>
              <w:jc w:val="center"/>
              <w:rPr>
                <w:kern w:val="0"/>
                <w:sz w:val="21"/>
                <w:szCs w:val="21"/>
              </w:rPr>
            </w:pPr>
            <w:r>
              <w:rPr>
                <w:rFonts w:hint="eastAsia"/>
                <w:kern w:val="0"/>
                <w:sz w:val="21"/>
                <w:szCs w:val="21"/>
              </w:rPr>
              <w:t>申请人情况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4374" w:type="dxa"/>
            <w:gridSpan w:val="3"/>
            <w:vMerge w:val="continue"/>
            <w:noWrap w:val="0"/>
            <w:tcMar>
              <w:left w:w="108" w:type="dxa"/>
              <w:right w:w="108" w:type="dxa"/>
            </w:tcMar>
            <w:vAlign w:val="center"/>
          </w:tcPr>
          <w:p>
            <w:pPr>
              <w:spacing w:line="240" w:lineRule="exact"/>
              <w:jc w:val="center"/>
              <w:rPr>
                <w:rFonts w:hint="eastAsia"/>
                <w:kern w:val="0"/>
                <w:sz w:val="21"/>
                <w:szCs w:val="21"/>
              </w:rPr>
            </w:pPr>
          </w:p>
        </w:tc>
        <w:tc>
          <w:tcPr>
            <w:tcW w:w="642"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自然人</w:t>
            </w:r>
          </w:p>
        </w:tc>
        <w:tc>
          <w:tcPr>
            <w:tcW w:w="3570" w:type="dxa"/>
            <w:gridSpan w:val="5"/>
            <w:noWrap w:val="0"/>
            <w:tcMar>
              <w:left w:w="57" w:type="dxa"/>
              <w:right w:w="57" w:type="dxa"/>
            </w:tcMar>
            <w:vAlign w:val="center"/>
          </w:tcPr>
          <w:p>
            <w:pPr>
              <w:spacing w:line="240" w:lineRule="exact"/>
              <w:jc w:val="center"/>
              <w:rPr>
                <w:kern w:val="0"/>
                <w:sz w:val="21"/>
                <w:szCs w:val="21"/>
              </w:rPr>
            </w:pPr>
            <w:r>
              <w:rPr>
                <w:rFonts w:hint="eastAsia"/>
                <w:kern w:val="0"/>
                <w:sz w:val="21"/>
                <w:szCs w:val="21"/>
              </w:rPr>
              <w:t>法人或其他组织</w:t>
            </w:r>
          </w:p>
        </w:tc>
        <w:tc>
          <w:tcPr>
            <w:tcW w:w="701"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总计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4374" w:type="dxa"/>
            <w:gridSpan w:val="3"/>
            <w:vMerge w:val="continue"/>
            <w:noWrap w:val="0"/>
            <w:tcMar>
              <w:left w:w="108" w:type="dxa"/>
              <w:right w:w="108" w:type="dxa"/>
            </w:tcMar>
            <w:vAlign w:val="center"/>
          </w:tcPr>
          <w:p>
            <w:pPr>
              <w:spacing w:line="240" w:lineRule="exact"/>
              <w:jc w:val="center"/>
              <w:rPr>
                <w:rFonts w:hint="eastAsia"/>
                <w:kern w:val="0"/>
                <w:sz w:val="21"/>
                <w:szCs w:val="21"/>
              </w:rPr>
            </w:pPr>
          </w:p>
        </w:tc>
        <w:tc>
          <w:tcPr>
            <w:tcW w:w="642" w:type="dxa"/>
            <w:vMerge w:val="continue"/>
            <w:noWrap w:val="0"/>
            <w:tcMar>
              <w:left w:w="57" w:type="dxa"/>
              <w:right w:w="57" w:type="dxa"/>
            </w:tcMar>
            <w:vAlign w:val="center"/>
          </w:tcPr>
          <w:p>
            <w:pPr>
              <w:spacing w:line="240" w:lineRule="exact"/>
              <w:jc w:val="center"/>
              <w:rPr>
                <w:rFonts w:hint="eastAsia"/>
                <w:kern w:val="0"/>
                <w:sz w:val="21"/>
                <w:szCs w:val="21"/>
              </w:rPr>
            </w:pP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rPr>
              <w:t>商业</w:t>
            </w:r>
          </w:p>
          <w:p>
            <w:pPr>
              <w:spacing w:line="240" w:lineRule="exact"/>
              <w:jc w:val="center"/>
              <w:rPr>
                <w:kern w:val="0"/>
                <w:sz w:val="21"/>
                <w:szCs w:val="21"/>
              </w:rPr>
            </w:pPr>
            <w:r>
              <w:rPr>
                <w:rFonts w:hint="eastAsia"/>
                <w:kern w:val="0"/>
                <w:sz w:val="21"/>
                <w:szCs w:val="21"/>
              </w:rPr>
              <w:t>企业</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rPr>
              <w:t>科研</w:t>
            </w:r>
          </w:p>
          <w:p>
            <w:pPr>
              <w:spacing w:line="240" w:lineRule="exact"/>
              <w:jc w:val="center"/>
              <w:rPr>
                <w:kern w:val="0"/>
                <w:sz w:val="21"/>
                <w:szCs w:val="21"/>
              </w:rPr>
            </w:pPr>
            <w:r>
              <w:rPr>
                <w:rFonts w:hint="eastAsia"/>
                <w:kern w:val="0"/>
                <w:sz w:val="21"/>
                <w:szCs w:val="21"/>
              </w:rPr>
              <w:t>机构</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rPr>
              <w:t>社会公益组织</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rPr>
              <w:t>法律服务机构</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rPr>
              <w:t>其他</w:t>
            </w:r>
          </w:p>
        </w:tc>
        <w:tc>
          <w:tcPr>
            <w:tcW w:w="701" w:type="dxa"/>
            <w:vMerge w:val="continue"/>
            <w:noWrap w:val="0"/>
            <w:tcMar>
              <w:left w:w="57" w:type="dxa"/>
              <w:right w:w="57" w:type="dxa"/>
            </w:tcMar>
            <w:vAlign w:val="center"/>
          </w:tcPr>
          <w:p>
            <w:pPr>
              <w:spacing w:line="240" w:lineRule="exact"/>
              <w:jc w:val="center"/>
              <w:rPr>
                <w:rFonts w:hint="eastAsia"/>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67" w:hRule="exact"/>
        </w:trPr>
        <w:tc>
          <w:tcPr>
            <w:tcW w:w="4374" w:type="dxa"/>
            <w:gridSpan w:val="3"/>
            <w:noWrap w:val="0"/>
            <w:tcMar>
              <w:left w:w="57" w:type="dxa"/>
              <w:right w:w="57" w:type="dxa"/>
            </w:tcMar>
            <w:vAlign w:val="center"/>
          </w:tcPr>
          <w:p>
            <w:pPr>
              <w:spacing w:line="240" w:lineRule="exact"/>
              <w:jc w:val="center"/>
              <w:rPr>
                <w:kern w:val="0"/>
                <w:sz w:val="21"/>
                <w:szCs w:val="21"/>
              </w:rPr>
            </w:pPr>
            <w:r>
              <w:rPr>
                <w:rFonts w:hint="eastAsia"/>
                <w:kern w:val="0"/>
                <w:sz w:val="21"/>
                <w:szCs w:val="21"/>
              </w:rPr>
              <w:t>一、本年新收政府信息公开申请数量</w:t>
            </w:r>
          </w:p>
        </w:tc>
        <w:tc>
          <w:tcPr>
            <w:tcW w:w="642" w:type="dxa"/>
            <w:noWrap w:val="0"/>
            <w:tcMar>
              <w:left w:w="57" w:type="dxa"/>
              <w:right w:w="57" w:type="dxa"/>
            </w:tcMar>
            <w:vAlign w:val="center"/>
          </w:tcPr>
          <w:p>
            <w:pPr>
              <w:spacing w:line="240" w:lineRule="exact"/>
              <w:jc w:val="center"/>
              <w:rPr>
                <w:rFonts w:hint="default"/>
                <w:kern w:val="0"/>
                <w:sz w:val="21"/>
                <w:szCs w:val="21"/>
                <w:lang w:val="en-US"/>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val="en-US"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rFonts w:hint="default" w:eastAsia="仿宋_GB2312"/>
                <w:kern w:val="0"/>
                <w:sz w:val="21"/>
                <w:szCs w:val="21"/>
                <w:lang w:val="en-US" w:eastAsia="zh-CN"/>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67" w:hRule="exact"/>
        </w:trPr>
        <w:tc>
          <w:tcPr>
            <w:tcW w:w="4374" w:type="dxa"/>
            <w:gridSpan w:val="3"/>
            <w:noWrap w:val="0"/>
            <w:tcMar>
              <w:left w:w="57" w:type="dxa"/>
              <w:right w:w="57" w:type="dxa"/>
            </w:tcMar>
            <w:vAlign w:val="center"/>
          </w:tcPr>
          <w:p>
            <w:pPr>
              <w:spacing w:line="240" w:lineRule="exact"/>
              <w:jc w:val="center"/>
              <w:rPr>
                <w:kern w:val="0"/>
                <w:sz w:val="21"/>
                <w:szCs w:val="21"/>
              </w:rPr>
            </w:pPr>
            <w:r>
              <w:rPr>
                <w:rFonts w:hint="eastAsia"/>
                <w:kern w:val="0"/>
                <w:sz w:val="21"/>
                <w:szCs w:val="21"/>
              </w:rPr>
              <w:t>二、上年结转政府信息公开申请数量</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三、本年度办理结果</w:t>
            </w:r>
          </w:p>
        </w:tc>
        <w:tc>
          <w:tcPr>
            <w:tcW w:w="3589" w:type="dxa"/>
            <w:gridSpan w:val="2"/>
            <w:noWrap w:val="0"/>
            <w:tcMar>
              <w:left w:w="57" w:type="dxa"/>
              <w:right w:w="57" w:type="dxa"/>
            </w:tcMar>
            <w:vAlign w:val="center"/>
          </w:tcPr>
          <w:p>
            <w:pPr>
              <w:spacing w:line="240" w:lineRule="exact"/>
              <w:jc w:val="center"/>
              <w:rPr>
                <w:kern w:val="0"/>
                <w:sz w:val="21"/>
                <w:szCs w:val="21"/>
              </w:rPr>
            </w:pPr>
            <w:r>
              <w:rPr>
                <w:rFonts w:hint="eastAsia"/>
                <w:kern w:val="0"/>
                <w:sz w:val="21"/>
                <w:szCs w:val="21"/>
              </w:rPr>
              <w:t>（一）予以公开</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3589" w:type="dxa"/>
            <w:gridSpan w:val="2"/>
            <w:noWrap w:val="0"/>
            <w:tcMar>
              <w:left w:w="57" w:type="dxa"/>
              <w:right w:w="57" w:type="dxa"/>
            </w:tcMar>
            <w:vAlign w:val="center"/>
          </w:tcPr>
          <w:p>
            <w:pPr>
              <w:spacing w:line="240" w:lineRule="exact"/>
              <w:jc w:val="center"/>
              <w:rPr>
                <w:kern w:val="0"/>
                <w:sz w:val="21"/>
                <w:szCs w:val="21"/>
              </w:rPr>
            </w:pPr>
            <w:r>
              <w:rPr>
                <w:rFonts w:hint="eastAsia"/>
                <w:kern w:val="0"/>
                <w:sz w:val="21"/>
                <w:szCs w:val="21"/>
              </w:rPr>
              <w:t>（二）部分公开（区分处理的，只计这一情形，不计其他情形）</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restart"/>
            <w:noWrap w:val="0"/>
            <w:tcMar>
              <w:left w:w="57" w:type="dxa"/>
              <w:right w:w="57" w:type="dxa"/>
            </w:tcMar>
            <w:vAlign w:val="center"/>
          </w:tcPr>
          <w:p>
            <w:pPr>
              <w:spacing w:line="240" w:lineRule="exact"/>
              <w:jc w:val="center"/>
              <w:rPr>
                <w:rFonts w:hint="eastAsia"/>
                <w:kern w:val="0"/>
                <w:sz w:val="21"/>
                <w:szCs w:val="21"/>
              </w:rPr>
            </w:pPr>
            <w:r>
              <w:rPr>
                <w:rFonts w:hint="eastAsia"/>
                <w:kern w:val="0"/>
                <w:sz w:val="21"/>
                <w:szCs w:val="21"/>
              </w:rPr>
              <w:t>（三）</w:t>
            </w:r>
          </w:p>
          <w:p>
            <w:pPr>
              <w:spacing w:line="240" w:lineRule="exact"/>
              <w:jc w:val="center"/>
              <w:rPr>
                <w:rFonts w:hint="eastAsia"/>
                <w:kern w:val="0"/>
                <w:sz w:val="21"/>
                <w:szCs w:val="21"/>
              </w:rPr>
            </w:pPr>
            <w:r>
              <w:rPr>
                <w:rFonts w:hint="eastAsia"/>
                <w:kern w:val="0"/>
                <w:sz w:val="21"/>
                <w:szCs w:val="21"/>
              </w:rPr>
              <w:t>不予</w:t>
            </w:r>
          </w:p>
          <w:p>
            <w:pPr>
              <w:spacing w:line="240" w:lineRule="exact"/>
              <w:jc w:val="center"/>
              <w:rPr>
                <w:kern w:val="0"/>
                <w:sz w:val="21"/>
                <w:szCs w:val="21"/>
              </w:rPr>
            </w:pPr>
            <w:r>
              <w:rPr>
                <w:rFonts w:hint="eastAsia"/>
                <w:kern w:val="0"/>
                <w:sz w:val="21"/>
                <w:szCs w:val="21"/>
              </w:rPr>
              <w:t>公开</w:t>
            </w: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1.属于国家秘密</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2.其他法律行政法规禁止公开</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jc w:val="center"/>
              <w:rPr>
                <w:kern w:val="0"/>
                <w:sz w:val="21"/>
                <w:szCs w:val="21"/>
              </w:rPr>
            </w:pPr>
            <w:r>
              <w:rPr>
                <w:rFonts w:hint="eastAsia"/>
                <w:kern w:val="0"/>
                <w:sz w:val="21"/>
                <w:szCs w:val="21"/>
              </w:rPr>
              <w:t>3.危及“三安全一稳定”</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4.保护第三方合法权益</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5.属于三类内部事务信息</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6.属于四类过程性信息</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7.属于行政执法案卷</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8.属于行政查询事项</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（四）无法提供</w:t>
            </w: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1.本机关不掌握相关政府信息</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2.没有现成信息需要另行制作</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3.补正后申请内容仍不明确</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（五）不予处理</w:t>
            </w: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1.信访举报投诉类申请</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2.重复申请</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3.要求提供公开出版物</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top"/>
          </w:tcPr>
          <w:p>
            <w:pPr>
              <w:spacing w:line="240" w:lineRule="exact"/>
              <w:rPr>
                <w:kern w:val="0"/>
                <w:sz w:val="21"/>
                <w:szCs w:val="21"/>
              </w:rPr>
            </w:pPr>
            <w:r>
              <w:rPr>
                <w:rFonts w:hint="eastAsia"/>
                <w:kern w:val="0"/>
                <w:sz w:val="21"/>
                <w:szCs w:val="21"/>
              </w:rPr>
              <w:t>4.无正当理由大量反复申请</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79" w:hRule="atLeast"/>
        </w:trPr>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center"/>
          </w:tcPr>
          <w:p>
            <w:pPr>
              <w:spacing w:line="240" w:lineRule="exact"/>
              <w:rPr>
                <w:kern w:val="0"/>
                <w:sz w:val="21"/>
                <w:szCs w:val="21"/>
              </w:rPr>
            </w:pPr>
            <w:r>
              <w:rPr>
                <w:rFonts w:hint="eastAsia"/>
                <w:kern w:val="0"/>
                <w:sz w:val="21"/>
                <w:szCs w:val="21"/>
              </w:rPr>
              <w:t>5.要求行政机关确认或重新出具已获取信息</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restart"/>
            <w:noWrap w:val="0"/>
            <w:tcMar>
              <w:left w:w="57" w:type="dxa"/>
              <w:right w:w="57" w:type="dxa"/>
            </w:tcMar>
            <w:vAlign w:val="center"/>
          </w:tcPr>
          <w:p>
            <w:pPr>
              <w:spacing w:line="240" w:lineRule="exact"/>
              <w:jc w:val="center"/>
              <w:rPr>
                <w:kern w:val="0"/>
                <w:sz w:val="21"/>
                <w:szCs w:val="21"/>
              </w:rPr>
            </w:pPr>
            <w:r>
              <w:rPr>
                <w:rFonts w:hint="eastAsia"/>
                <w:kern w:val="0"/>
                <w:sz w:val="21"/>
                <w:szCs w:val="21"/>
              </w:rPr>
              <w:t>（六）其他处理</w:t>
            </w:r>
          </w:p>
        </w:tc>
        <w:tc>
          <w:tcPr>
            <w:tcW w:w="2630" w:type="dxa"/>
            <w:noWrap w:val="0"/>
            <w:tcMar>
              <w:left w:w="57" w:type="dxa"/>
              <w:right w:w="57" w:type="dxa"/>
            </w:tcMar>
            <w:vAlign w:val="center"/>
          </w:tcPr>
          <w:p>
            <w:pPr>
              <w:spacing w:line="240" w:lineRule="exact"/>
              <w:rPr>
                <w:kern w:val="0"/>
                <w:sz w:val="21"/>
                <w:szCs w:val="21"/>
              </w:rPr>
            </w:pPr>
            <w:r>
              <w:rPr>
                <w:rFonts w:hint="eastAsia"/>
                <w:kern w:val="0"/>
                <w:sz w:val="21"/>
                <w:szCs w:val="21"/>
              </w:rPr>
              <w:t>1.申请人无正当理由逾期不补正、行政机关不再处理其政府信息公开申请</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center"/>
          </w:tcPr>
          <w:p>
            <w:pPr>
              <w:spacing w:line="240" w:lineRule="exact"/>
              <w:rPr>
                <w:kern w:val="0"/>
                <w:sz w:val="21"/>
                <w:szCs w:val="21"/>
              </w:rPr>
            </w:pPr>
            <w:r>
              <w:rPr>
                <w:rFonts w:hint="eastAsia"/>
                <w:kern w:val="0"/>
                <w:sz w:val="21"/>
                <w:szCs w:val="21"/>
              </w:rPr>
              <w:t>2.申请人逾期未按收费通知要求缴纳费用、行政机关不再处理其政府信息公开申请</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959" w:type="dxa"/>
            <w:vMerge w:val="continue"/>
            <w:noWrap w:val="0"/>
            <w:tcMar>
              <w:left w:w="57" w:type="dxa"/>
              <w:right w:w="57" w:type="dxa"/>
            </w:tcMar>
            <w:vAlign w:val="center"/>
          </w:tcPr>
          <w:p>
            <w:pPr>
              <w:spacing w:line="240" w:lineRule="exact"/>
              <w:jc w:val="center"/>
              <w:rPr>
                <w:rFonts w:hint="eastAsia"/>
                <w:kern w:val="0"/>
                <w:sz w:val="21"/>
                <w:szCs w:val="21"/>
              </w:rPr>
            </w:pPr>
          </w:p>
        </w:tc>
        <w:tc>
          <w:tcPr>
            <w:tcW w:w="2630" w:type="dxa"/>
            <w:noWrap w:val="0"/>
            <w:tcMar>
              <w:left w:w="57" w:type="dxa"/>
              <w:right w:w="57" w:type="dxa"/>
            </w:tcMar>
            <w:vAlign w:val="center"/>
          </w:tcPr>
          <w:p>
            <w:pPr>
              <w:spacing w:line="240" w:lineRule="exact"/>
              <w:rPr>
                <w:kern w:val="0"/>
                <w:sz w:val="21"/>
                <w:szCs w:val="21"/>
              </w:rPr>
            </w:pPr>
            <w:r>
              <w:rPr>
                <w:rFonts w:hint="eastAsia"/>
                <w:kern w:val="0"/>
                <w:sz w:val="21"/>
                <w:szCs w:val="21"/>
              </w:rPr>
              <w:t>3.其他</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785" w:type="dxa"/>
            <w:vMerge w:val="continue"/>
            <w:noWrap w:val="0"/>
            <w:tcMar>
              <w:left w:w="57" w:type="dxa"/>
              <w:right w:w="57" w:type="dxa"/>
            </w:tcMar>
            <w:vAlign w:val="center"/>
          </w:tcPr>
          <w:p>
            <w:pPr>
              <w:spacing w:line="240" w:lineRule="exact"/>
              <w:jc w:val="center"/>
              <w:rPr>
                <w:rFonts w:hint="eastAsia"/>
                <w:kern w:val="0"/>
                <w:sz w:val="21"/>
                <w:szCs w:val="21"/>
              </w:rPr>
            </w:pPr>
          </w:p>
        </w:tc>
        <w:tc>
          <w:tcPr>
            <w:tcW w:w="3589" w:type="dxa"/>
            <w:gridSpan w:val="2"/>
            <w:noWrap w:val="0"/>
            <w:tcMar>
              <w:left w:w="57" w:type="dxa"/>
              <w:right w:w="57" w:type="dxa"/>
            </w:tcMar>
            <w:vAlign w:val="center"/>
          </w:tcPr>
          <w:p>
            <w:pPr>
              <w:spacing w:line="240" w:lineRule="exact"/>
              <w:jc w:val="center"/>
              <w:rPr>
                <w:kern w:val="0"/>
                <w:sz w:val="21"/>
                <w:szCs w:val="21"/>
              </w:rPr>
            </w:pPr>
            <w:r>
              <w:rPr>
                <w:rFonts w:hint="eastAsia"/>
                <w:kern w:val="0"/>
                <w:sz w:val="21"/>
                <w:szCs w:val="21"/>
              </w:rPr>
              <w:t>（七）总计</w:t>
            </w:r>
          </w:p>
        </w:tc>
        <w:tc>
          <w:tcPr>
            <w:tcW w:w="642" w:type="dxa"/>
            <w:noWrap w:val="0"/>
            <w:tcMar>
              <w:left w:w="57" w:type="dxa"/>
              <w:right w:w="57" w:type="dxa"/>
            </w:tcMar>
            <w:vAlign w:val="center"/>
          </w:tcPr>
          <w:p>
            <w:pPr>
              <w:spacing w:line="240" w:lineRule="exact"/>
              <w:jc w:val="center"/>
              <w:rPr>
                <w:rFonts w:hint="default"/>
                <w:kern w:val="0"/>
                <w:sz w:val="21"/>
                <w:szCs w:val="21"/>
                <w:lang w:val="en-US"/>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rFonts w:hint="default"/>
                <w:kern w:val="0"/>
                <w:sz w:val="21"/>
                <w:szCs w:val="21"/>
                <w:lang w:val="en-US"/>
              </w:rPr>
            </w:pPr>
            <w:r>
              <w:rPr>
                <w:rFonts w:hint="eastAsia"/>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c>
          <w:tcPr>
            <w:tcW w:w="4374" w:type="dxa"/>
            <w:gridSpan w:val="3"/>
            <w:noWrap w:val="0"/>
            <w:tcMar>
              <w:left w:w="57" w:type="dxa"/>
              <w:right w:w="57" w:type="dxa"/>
            </w:tcMar>
            <w:vAlign w:val="center"/>
          </w:tcPr>
          <w:p>
            <w:pPr>
              <w:spacing w:line="240" w:lineRule="exact"/>
              <w:jc w:val="center"/>
              <w:rPr>
                <w:kern w:val="0"/>
                <w:sz w:val="21"/>
                <w:szCs w:val="21"/>
              </w:rPr>
            </w:pPr>
            <w:r>
              <w:rPr>
                <w:rFonts w:hint="eastAsia"/>
                <w:kern w:val="0"/>
                <w:sz w:val="21"/>
                <w:szCs w:val="21"/>
              </w:rPr>
              <w:t>四、结转下年度继续办理</w:t>
            </w:r>
          </w:p>
        </w:tc>
        <w:tc>
          <w:tcPr>
            <w:tcW w:w="642"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14" w:type="dxa"/>
            <w:noWrap w:val="0"/>
            <w:tcMar>
              <w:left w:w="57" w:type="dxa"/>
              <w:right w:w="57" w:type="dxa"/>
            </w:tcMar>
            <w:vAlign w:val="center"/>
          </w:tcPr>
          <w:p>
            <w:pPr>
              <w:spacing w:line="240" w:lineRule="exact"/>
              <w:jc w:val="center"/>
              <w:rPr>
                <w:kern w:val="0"/>
                <w:sz w:val="21"/>
                <w:szCs w:val="21"/>
              </w:rPr>
            </w:pPr>
            <w:r>
              <w:rPr>
                <w:rFonts w:hint="eastAsia"/>
                <w:kern w:val="0"/>
                <w:sz w:val="21"/>
                <w:szCs w:val="21"/>
                <w:lang w:val="en-US" w:eastAsia="zh-CN"/>
              </w:rPr>
              <w:t>0</w:t>
            </w:r>
          </w:p>
        </w:tc>
        <w:tc>
          <w:tcPr>
            <w:tcW w:w="701" w:type="dxa"/>
            <w:noWrap w:val="0"/>
            <w:tcMar>
              <w:left w:w="57" w:type="dxa"/>
              <w:right w:w="57" w:type="dxa"/>
            </w:tcMar>
            <w:vAlign w:val="center"/>
          </w:tcPr>
          <w:p>
            <w:pPr>
              <w:spacing w:line="240" w:lineRule="exact"/>
              <w:jc w:val="center"/>
              <w:rPr>
                <w:rFonts w:hint="eastAsia"/>
                <w:kern w:val="0"/>
                <w:sz w:val="21"/>
                <w:szCs w:val="21"/>
              </w:rPr>
            </w:pPr>
            <w:r>
              <w:rPr>
                <w:rFonts w:hint="eastAsia"/>
                <w:kern w:val="0"/>
                <w:sz w:val="21"/>
                <w:szCs w:val="21"/>
                <w:lang w:val="en-US" w:eastAsia="zh-CN"/>
              </w:rPr>
              <w:t>0</w:t>
            </w:r>
          </w:p>
        </w:tc>
      </w:tr>
    </w:tbl>
    <w:p>
      <w:pPr>
        <w:pStyle w:val="7"/>
        <w:widowControl/>
        <w:spacing w:before="0" w:beforeAutospacing="0" w:after="0" w:afterAutospacing="0" w:line="560" w:lineRule="exact"/>
        <w:ind w:firstLine="640" w:firstLineChars="200"/>
        <w:jc w:val="both"/>
        <w:rPr>
          <w:rFonts w:hint="eastAsia" w:ascii="黑体" w:hAnsi="黑体" w:eastAsia="黑体" w:cs="Times New Roman"/>
          <w:szCs w:val="32"/>
        </w:rPr>
      </w:pPr>
      <w:r>
        <w:rPr>
          <w:rFonts w:hint="eastAsia" w:ascii="黑体" w:hAnsi="黑体" w:eastAsia="黑体" w:cs="Times New Roman"/>
          <w:szCs w:val="32"/>
        </w:rPr>
        <w:t>四、政府信息公开行政复议、行政诉讼情况</w:t>
      </w:r>
    </w:p>
    <w:tbl>
      <w:tblPr>
        <w:tblStyle w:val="8"/>
        <w:tblpPr w:leftFromText="180" w:rightFromText="180" w:vertAnchor="text" w:horzAnchor="page" w:tblpX="1647" w:tblpY="262"/>
        <w:tblOverlap w:val="never"/>
        <w:tblW w:w="936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35"/>
        <w:gridCol w:w="540"/>
        <w:gridCol w:w="649"/>
        <w:gridCol w:w="649"/>
        <w:gridCol w:w="650"/>
        <w:gridCol w:w="650"/>
        <w:gridCol w:w="576"/>
        <w:gridCol w:w="650"/>
        <w:gridCol w:w="650"/>
        <w:gridCol w:w="650"/>
        <w:gridCol w:w="650"/>
        <w:gridCol w:w="47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c>
          <w:tcPr>
            <w:tcW w:w="3122"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行政复议</w:t>
            </w:r>
          </w:p>
        </w:tc>
        <w:tc>
          <w:tcPr>
            <w:tcW w:w="6246"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其他</w:t>
            </w:r>
            <w:r>
              <w:rPr>
                <w:rFonts w:hint="eastAsia"/>
                <w:kern w:val="0"/>
                <w:sz w:val="21"/>
                <w:szCs w:val="21"/>
              </w:rPr>
              <w:br w:type="textWrapping"/>
            </w:r>
            <w:r>
              <w:rPr>
                <w:rFonts w:hint="eastAsia"/>
                <w:kern w:val="0"/>
                <w:sz w:val="21"/>
                <w:szCs w:val="21"/>
              </w:rPr>
              <w:t>结果</w:t>
            </w:r>
          </w:p>
        </w:tc>
        <w:tc>
          <w:tcPr>
            <w:tcW w:w="635"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尚未</w:t>
            </w:r>
            <w:r>
              <w:rPr>
                <w:rFonts w:hint="eastAsia"/>
                <w:kern w:val="0"/>
                <w:sz w:val="21"/>
                <w:szCs w:val="21"/>
              </w:rPr>
              <w:br w:type="textWrapping"/>
            </w:r>
            <w:r>
              <w:rPr>
                <w:rFonts w:hint="eastAsia"/>
                <w:kern w:val="0"/>
                <w:sz w:val="21"/>
                <w:szCs w:val="21"/>
              </w:rPr>
              <w:t>审结</w:t>
            </w:r>
          </w:p>
        </w:tc>
        <w:tc>
          <w:tcPr>
            <w:tcW w:w="540"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总计</w:t>
            </w:r>
          </w:p>
        </w:tc>
        <w:tc>
          <w:tcPr>
            <w:tcW w:w="317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未经复议直接起诉</w:t>
            </w:r>
          </w:p>
        </w:tc>
        <w:tc>
          <w:tcPr>
            <w:tcW w:w="3072"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635"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54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kern w:val="0"/>
                <w:sz w:val="21"/>
                <w:szCs w:val="21"/>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其他</w:t>
            </w:r>
            <w:r>
              <w:rPr>
                <w:rFonts w:hint="eastAsia"/>
                <w:kern w:val="0"/>
                <w:sz w:val="21"/>
                <w:szCs w:val="21"/>
              </w:rPr>
              <w:br w:type="textWrapping"/>
            </w:r>
            <w:r>
              <w:rPr>
                <w:rFonts w:hint="eastAsia"/>
                <w:kern w:val="0"/>
                <w:sz w:val="21"/>
                <w:szCs w:val="21"/>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尚未</w:t>
            </w:r>
            <w:r>
              <w:rPr>
                <w:rFonts w:hint="eastAsia"/>
                <w:kern w:val="0"/>
                <w:sz w:val="21"/>
                <w:szCs w:val="21"/>
              </w:rPr>
              <w:br w:type="textWrapping"/>
            </w:r>
            <w:r>
              <w:rPr>
                <w:rFonts w:hint="eastAsia"/>
                <w:kern w:val="0"/>
                <w:sz w:val="21"/>
                <w:szCs w:val="21"/>
              </w:rPr>
              <w:t>审结</w:t>
            </w:r>
          </w:p>
        </w:tc>
        <w:tc>
          <w:tcPr>
            <w:tcW w:w="576"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总计</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维持</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结果</w:t>
            </w:r>
            <w:r>
              <w:rPr>
                <w:rFonts w:hint="eastAsia"/>
                <w:kern w:val="0"/>
                <w:sz w:val="21"/>
                <w:szCs w:val="21"/>
              </w:rPr>
              <w:br w:type="textWrapping"/>
            </w:r>
            <w:r>
              <w:rPr>
                <w:rFonts w:hint="eastAsia"/>
                <w:kern w:val="0"/>
                <w:sz w:val="21"/>
                <w:szCs w:val="21"/>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其他</w:t>
            </w:r>
            <w:r>
              <w:rPr>
                <w:rFonts w:hint="eastAsia"/>
                <w:kern w:val="0"/>
                <w:sz w:val="21"/>
                <w:szCs w:val="21"/>
              </w:rPr>
              <w:br w:type="textWrapping"/>
            </w:r>
            <w:r>
              <w:rPr>
                <w:rFonts w:hint="eastAsia"/>
                <w:kern w:val="0"/>
                <w:sz w:val="21"/>
                <w:szCs w:val="21"/>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尚未</w:t>
            </w:r>
            <w:r>
              <w:rPr>
                <w:rFonts w:hint="eastAsia"/>
                <w:kern w:val="0"/>
                <w:sz w:val="21"/>
                <w:szCs w:val="21"/>
              </w:rPr>
              <w:br w:type="textWrapping"/>
            </w:r>
            <w:r>
              <w:rPr>
                <w:rFonts w:hint="eastAsia"/>
                <w:kern w:val="0"/>
                <w:sz w:val="21"/>
                <w:szCs w:val="21"/>
              </w:rPr>
              <w:t>审结</w:t>
            </w:r>
          </w:p>
        </w:tc>
        <w:tc>
          <w:tcPr>
            <w:tcW w:w="47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kern w:val="0"/>
                <w:sz w:val="21"/>
                <w:szCs w:val="21"/>
              </w:rPr>
            </w:pPr>
            <w:r>
              <w:rPr>
                <w:rFonts w:hint="eastAsia"/>
                <w:kern w:val="0"/>
                <w:sz w:val="21"/>
                <w:szCs w:val="21"/>
                <w:lang w:val="en-US" w:eastAsia="zh-CN"/>
              </w:rPr>
              <w:t>0</w:t>
            </w:r>
            <w:r>
              <w:rPr>
                <w:kern w:val="0"/>
                <w:sz w:val="21"/>
                <w:szCs w:val="21"/>
              </w:rPr>
              <w:t>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35"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54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576"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eastAsia="zh-CN"/>
              </w:rPr>
            </w:pPr>
            <w:r>
              <w:rPr>
                <w:rFonts w:hint="eastAsia"/>
                <w:kern w:val="0"/>
                <w:sz w:val="21"/>
                <w:szCs w:val="21"/>
                <w:lang w:val="en-US" w:eastAsia="zh-CN"/>
              </w:rPr>
              <w:t>0</w:t>
            </w:r>
          </w:p>
        </w:tc>
        <w:tc>
          <w:tcPr>
            <w:tcW w:w="472"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00" w:lineRule="exact"/>
              <w:jc w:val="center"/>
              <w:rPr>
                <w:rFonts w:hint="eastAsia" w:eastAsia="仿宋_GB2312"/>
                <w:kern w:val="0"/>
                <w:sz w:val="21"/>
                <w:szCs w:val="21"/>
                <w:lang w:val="en-US" w:eastAsia="zh-CN"/>
              </w:rPr>
            </w:pPr>
            <w:r>
              <w:rPr>
                <w:rFonts w:hint="eastAsia"/>
                <w:kern w:val="0"/>
                <w:sz w:val="21"/>
                <w:szCs w:val="21"/>
                <w:lang w:val="en-US" w:eastAsia="zh-CN"/>
              </w:rPr>
              <w:t>0</w:t>
            </w:r>
          </w:p>
        </w:tc>
      </w:tr>
    </w:tbl>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黑体" w:hAnsi="黑体" w:eastAsia="黑体" w:cs="Times New Roman"/>
          <w:szCs w:val="32"/>
        </w:rPr>
      </w:pPr>
      <w:r>
        <w:rPr>
          <w:rFonts w:hint="eastAsia" w:ascii="黑体" w:hAnsi="黑体" w:eastAsia="黑体" w:cs="Times New Roman"/>
          <w:szCs w:val="32"/>
        </w:rPr>
        <w:t>五、存在的主要问题及改进情况</w:t>
      </w:r>
    </w:p>
    <w:p>
      <w:pPr>
        <w:keepNext w:val="0"/>
        <w:keepLines w:val="0"/>
        <w:pageBreakBefore w:val="0"/>
        <w:widowControl/>
        <w:kinsoku/>
        <w:wordWrap/>
        <w:overflowPunct/>
        <w:topLinePunct w:val="0"/>
        <w:autoSpaceDE/>
        <w:autoSpaceDN/>
        <w:bidi w:val="0"/>
        <w:adjustRightInd/>
        <w:snapToGrid/>
        <w:spacing w:line="500" w:lineRule="exact"/>
        <w:ind w:firstLine="601"/>
        <w:textAlignment w:val="auto"/>
        <w:rPr>
          <w:rFonts w:hint="eastAsia" w:ascii="楷体_GB2312" w:hAnsi="楷体_GB2312" w:eastAsia="楷体_GB2312" w:cs="楷体_GB2312"/>
          <w:b/>
          <w:bCs/>
          <w:sz w:val="32"/>
          <w:lang w:eastAsia="zh-CN"/>
        </w:rPr>
      </w:pPr>
      <w:r>
        <w:rPr>
          <w:rFonts w:hint="eastAsia" w:ascii="楷体_GB2312" w:hAnsi="楷体_GB2312" w:eastAsia="楷体_GB2312" w:cs="楷体_GB2312"/>
          <w:b/>
          <w:bCs/>
          <w:sz w:val="32"/>
          <w:lang w:eastAsia="zh-CN"/>
        </w:rPr>
        <w:t>（一）存在问题</w:t>
      </w:r>
    </w:p>
    <w:p>
      <w:pPr>
        <w:keepNext w:val="0"/>
        <w:keepLines w:val="0"/>
        <w:pageBreakBefore w:val="0"/>
        <w:widowControl/>
        <w:kinsoku/>
        <w:wordWrap/>
        <w:overflowPunct/>
        <w:topLinePunct w:val="0"/>
        <w:autoSpaceDE/>
        <w:autoSpaceDN/>
        <w:bidi w:val="0"/>
        <w:adjustRightInd/>
        <w:snapToGrid/>
        <w:spacing w:line="500" w:lineRule="exact"/>
        <w:ind w:firstLine="601"/>
        <w:textAlignment w:val="auto"/>
        <w:rPr>
          <w:rFonts w:hint="eastAsia" w:ascii="仿宋_GB2312"/>
          <w:sz w:val="32"/>
          <w:lang w:eastAsia="zh-CN"/>
        </w:rPr>
      </w:pPr>
      <w:r>
        <w:rPr>
          <w:rFonts w:hint="eastAsia" w:ascii="仿宋_GB2312"/>
          <w:sz w:val="32"/>
          <w:lang w:eastAsia="zh-CN"/>
        </w:rPr>
        <w:t>信息公开的内容还不够系统全面。</w:t>
      </w:r>
    </w:p>
    <w:p>
      <w:pPr>
        <w:keepNext w:val="0"/>
        <w:keepLines w:val="0"/>
        <w:pageBreakBefore w:val="0"/>
        <w:widowControl/>
        <w:kinsoku/>
        <w:wordWrap/>
        <w:overflowPunct/>
        <w:topLinePunct w:val="0"/>
        <w:autoSpaceDE/>
        <w:autoSpaceDN/>
        <w:bidi w:val="0"/>
        <w:adjustRightInd/>
        <w:snapToGrid/>
        <w:spacing w:line="500" w:lineRule="exact"/>
        <w:ind w:firstLine="601"/>
        <w:textAlignment w:val="auto"/>
        <w:rPr>
          <w:rFonts w:hint="eastAsia" w:ascii="楷体_GB2312" w:hAnsi="楷体_GB2312" w:eastAsia="楷体_GB2312" w:cs="楷体_GB2312"/>
          <w:b/>
          <w:bCs/>
          <w:sz w:val="32"/>
        </w:rPr>
      </w:pPr>
      <w:r>
        <w:rPr>
          <w:rFonts w:hint="eastAsia" w:ascii="楷体_GB2312" w:hAnsi="楷体_GB2312" w:eastAsia="楷体_GB2312" w:cs="楷体_GB2312"/>
          <w:b/>
          <w:bCs/>
          <w:sz w:val="32"/>
        </w:rPr>
        <w:t>（二）提升举措</w:t>
      </w:r>
    </w:p>
    <w:p>
      <w:pPr>
        <w:keepNext w:val="0"/>
        <w:keepLines w:val="0"/>
        <w:pageBreakBefore w:val="0"/>
        <w:widowControl/>
        <w:kinsoku/>
        <w:wordWrap/>
        <w:overflowPunct/>
        <w:topLinePunct w:val="0"/>
        <w:autoSpaceDE/>
        <w:autoSpaceDN/>
        <w:bidi w:val="0"/>
        <w:adjustRightInd/>
        <w:snapToGrid/>
        <w:spacing w:line="500" w:lineRule="exact"/>
        <w:ind w:firstLine="601"/>
        <w:textAlignment w:val="auto"/>
        <w:rPr>
          <w:rFonts w:hint="eastAsia" w:ascii="仿宋_GB2312" w:hAnsi="Times New Roman" w:cs="Times New Roman"/>
          <w:sz w:val="32"/>
          <w:lang w:eastAsia="zh-CN"/>
        </w:rPr>
      </w:pPr>
      <w:r>
        <w:rPr>
          <w:rFonts w:hint="eastAsia" w:ascii="仿宋_GB2312" w:eastAsia="仿宋_GB2312"/>
          <w:b/>
          <w:bCs/>
          <w:sz w:val="32"/>
        </w:rPr>
        <w:t>一是</w:t>
      </w:r>
      <w:r>
        <w:rPr>
          <w:rFonts w:hint="eastAsia" w:ascii="仿宋_GB2312"/>
          <w:b/>
          <w:bCs/>
          <w:sz w:val="32"/>
          <w:lang w:eastAsia="zh-CN"/>
        </w:rPr>
        <w:t>加强信息的汇总。</w:t>
      </w:r>
      <w:r>
        <w:rPr>
          <w:rFonts w:hint="eastAsia" w:ascii="仿宋_GB2312" w:hAnsi="Times New Roman" w:cs="Times New Roman"/>
          <w:sz w:val="32"/>
          <w:lang w:eastAsia="zh-CN"/>
        </w:rPr>
        <w:t>按照信息公开目录加强对各类涉公开信息的整理、汇总，推动各业务科室及时上报内外资进度、人才申报等相关内容，推动信息公开。</w:t>
      </w:r>
    </w:p>
    <w:p>
      <w:pPr>
        <w:keepNext w:val="0"/>
        <w:keepLines w:val="0"/>
        <w:pageBreakBefore w:val="0"/>
        <w:widowControl/>
        <w:kinsoku/>
        <w:wordWrap/>
        <w:overflowPunct/>
        <w:topLinePunct w:val="0"/>
        <w:autoSpaceDE/>
        <w:autoSpaceDN/>
        <w:bidi w:val="0"/>
        <w:adjustRightInd/>
        <w:snapToGrid/>
        <w:spacing w:line="500" w:lineRule="exact"/>
        <w:ind w:firstLine="601"/>
        <w:textAlignment w:val="auto"/>
        <w:rPr>
          <w:rFonts w:ascii="仿宋_GB2312" w:eastAsia="仿宋_GB2312"/>
          <w:sz w:val="32"/>
        </w:rPr>
      </w:pPr>
      <w:r>
        <w:rPr>
          <w:rFonts w:hint="eastAsia" w:ascii="仿宋_GB2312"/>
          <w:b/>
          <w:bCs/>
          <w:sz w:val="32"/>
          <w:lang w:eastAsia="zh-CN"/>
        </w:rPr>
        <w:t>二是加强信息的发布。</w:t>
      </w:r>
      <w:r>
        <w:rPr>
          <w:rFonts w:hint="eastAsia" w:ascii="仿宋_GB2312" w:eastAsia="仿宋_GB2312"/>
          <w:sz w:val="32"/>
        </w:rPr>
        <w:t>依托现有政府门户网站、</w:t>
      </w:r>
      <w:r>
        <w:rPr>
          <w:rFonts w:hint="eastAsia" w:ascii="仿宋_GB2312"/>
          <w:sz w:val="32"/>
          <w:lang w:eastAsia="zh-CN"/>
        </w:rPr>
        <w:t>镇灵通</w:t>
      </w:r>
      <w:r>
        <w:rPr>
          <w:rFonts w:hint="eastAsia" w:ascii="仿宋_GB2312" w:eastAsia="仿宋_GB2312"/>
          <w:sz w:val="32"/>
        </w:rPr>
        <w:t>等平台向公民、法人和其它组织加大政府信息公开力度</w:t>
      </w:r>
      <w:r>
        <w:rPr>
          <w:rFonts w:hint="eastAsia" w:ascii="仿宋_GB2312"/>
          <w:sz w:val="32"/>
          <w:lang w:eastAsia="zh-CN"/>
        </w:rPr>
        <w:t>，建立健全信息审核发布制度，</w:t>
      </w:r>
      <w:r>
        <w:rPr>
          <w:rFonts w:hint="eastAsia" w:ascii="仿宋_GB2312" w:eastAsia="仿宋_GB2312"/>
          <w:sz w:val="32"/>
        </w:rPr>
        <w:t>提高政府信息公开实效性。</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黑体" w:hAnsi="黑体" w:eastAsia="黑体" w:cs="Times New Roman"/>
          <w:szCs w:val="32"/>
        </w:rPr>
      </w:pPr>
      <w:r>
        <w:rPr>
          <w:rFonts w:hint="eastAsia" w:ascii="黑体" w:hAnsi="黑体" w:eastAsia="黑体" w:cs="Times New Roman"/>
          <w:szCs w:val="32"/>
        </w:rPr>
        <w:t>六、其他需要报告的事项</w:t>
      </w:r>
    </w:p>
    <w:p>
      <w:pPr>
        <w:keepNext w:val="0"/>
        <w:keepLines w:val="0"/>
        <w:pageBreakBefore w:val="0"/>
        <w:widowControl/>
        <w:kinsoku/>
        <w:wordWrap/>
        <w:overflowPunct/>
        <w:topLinePunct w:val="0"/>
        <w:autoSpaceDE/>
        <w:autoSpaceDN/>
        <w:bidi w:val="0"/>
        <w:adjustRightInd/>
        <w:snapToGrid/>
        <w:spacing w:line="500" w:lineRule="exact"/>
        <w:ind w:firstLine="601"/>
        <w:textAlignment w:val="auto"/>
        <w:rPr>
          <w:rFonts w:hint="eastAsia" w:ascii="仿宋_GB2312" w:hAnsi="Times New Roman" w:eastAsia="仿宋_GB2312" w:cs="Times New Roman"/>
          <w:sz w:val="32"/>
        </w:rPr>
      </w:pPr>
      <w:r>
        <w:rPr>
          <w:rFonts w:hint="eastAsia" w:ascii="仿宋_GB2312" w:hAnsi="Times New Roman" w:eastAsia="仿宋_GB2312" w:cs="Times New Roman"/>
          <w:sz w:val="32"/>
        </w:rPr>
        <w:t>202</w:t>
      </w:r>
      <w:r>
        <w:rPr>
          <w:rFonts w:hint="eastAsia" w:ascii="仿宋_GB2312" w:cs="Times New Roman"/>
          <w:sz w:val="32"/>
          <w:lang w:val="en-US" w:eastAsia="zh-CN"/>
        </w:rPr>
        <w:t>2</w:t>
      </w:r>
      <w:r>
        <w:rPr>
          <w:rFonts w:hint="eastAsia" w:ascii="仿宋_GB2312" w:hAnsi="Times New Roman" w:eastAsia="仿宋_GB2312" w:cs="Times New Roman"/>
          <w:sz w:val="32"/>
        </w:rPr>
        <w:t xml:space="preserve"> 年度，本</w:t>
      </w:r>
      <w:r>
        <w:rPr>
          <w:rFonts w:hint="eastAsia" w:ascii="仿宋_GB2312" w:hAnsi="Times New Roman" w:eastAsia="仿宋_GB2312" w:cs="Times New Roman"/>
          <w:sz w:val="32"/>
          <w:lang w:eastAsia="zh-CN"/>
        </w:rPr>
        <w:t>单位</w:t>
      </w:r>
      <w:r>
        <w:rPr>
          <w:rFonts w:hint="eastAsia" w:ascii="仿宋_GB2312" w:hAnsi="Times New Roman" w:eastAsia="仿宋_GB2312" w:cs="Times New Roman"/>
          <w:sz w:val="32"/>
        </w:rPr>
        <w:t>未收到政府信息公开申请，故未产生任何有关政府信息公开信息处理事项及费用。后续将严格执行国务院办公厅印发的《政府信息公开信息处理费管理办法》和省、市政府办公厅相关规定，维护政府信息公开工作秩序，更好地保障公众知情权。</w:t>
      </w:r>
    </w:p>
    <w:p>
      <w:pPr>
        <w:pStyle w:val="2"/>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Times New Roman" w:eastAsia="仿宋_GB2312" w:cs="Times New Roman"/>
          <w:i w:val="0"/>
          <w:kern w:val="2"/>
          <w:sz w:val="32"/>
          <w:szCs w:val="32"/>
          <w:lang w:val="en-US" w:eastAsia="zh-CN" w:bidi="ar-SA"/>
        </w:rPr>
      </w:pPr>
      <w:r>
        <w:rPr>
          <w:rFonts w:hint="eastAsia" w:ascii="仿宋_GB2312" w:hAnsi="Times New Roman" w:cs="Times New Roman"/>
          <w:sz w:val="32"/>
          <w:lang w:val="en-US" w:eastAsia="zh-CN"/>
        </w:rPr>
        <w:t xml:space="preserve">                             </w:t>
      </w:r>
      <w:r>
        <w:rPr>
          <w:rFonts w:hint="eastAsia" w:ascii="仿宋_GB2312" w:hAnsi="Times New Roman" w:eastAsia="仿宋_GB2312" w:cs="Times New Roman"/>
          <w:i w:val="0"/>
          <w:kern w:val="2"/>
          <w:sz w:val="32"/>
          <w:szCs w:val="32"/>
          <w:lang w:val="en-US" w:eastAsia="zh-CN" w:bidi="ar-SA"/>
        </w:rPr>
        <w:t xml:space="preserve"> 宁波市镇海区招商中心</w:t>
      </w:r>
    </w:p>
    <w:p>
      <w:pPr>
        <w:pStyle w:val="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ascii="仿宋_GB2312" w:hAnsi="Times New Roman" w:eastAsia="仿宋_GB2312" w:cs="Times New Roman"/>
          <w:i w:val="0"/>
          <w:kern w:val="2"/>
          <w:sz w:val="32"/>
          <w:szCs w:val="32"/>
          <w:lang w:val="en-US" w:eastAsia="zh-CN" w:bidi="ar-SA"/>
        </w:rPr>
        <w:t xml:space="preserve">                                202</w:t>
      </w:r>
      <w:r>
        <w:rPr>
          <w:rFonts w:hint="eastAsia" w:ascii="仿宋_GB2312" w:hAnsi="Times New Roman" w:cs="Times New Roman"/>
          <w:i w:val="0"/>
          <w:kern w:val="2"/>
          <w:sz w:val="32"/>
          <w:szCs w:val="32"/>
          <w:lang w:val="en-US" w:eastAsia="zh-CN" w:bidi="ar-SA"/>
        </w:rPr>
        <w:t>3</w:t>
      </w:r>
      <w:r>
        <w:rPr>
          <w:rFonts w:hint="eastAsia" w:ascii="仿宋_GB2312" w:hAnsi="Times New Roman" w:eastAsia="仿宋_GB2312" w:cs="Times New Roman"/>
          <w:i w:val="0"/>
          <w:kern w:val="2"/>
          <w:sz w:val="32"/>
          <w:szCs w:val="32"/>
          <w:lang w:val="en-US" w:eastAsia="zh-CN" w:bidi="ar-SA"/>
        </w:rPr>
        <w:t>年</w:t>
      </w:r>
      <w:r>
        <w:rPr>
          <w:rFonts w:hint="eastAsia" w:ascii="仿宋_GB2312" w:hAnsi="Times New Roman" w:cs="Times New Roman"/>
          <w:i w:val="0"/>
          <w:kern w:val="2"/>
          <w:sz w:val="32"/>
          <w:szCs w:val="32"/>
          <w:lang w:val="en-US" w:eastAsia="zh-CN" w:bidi="ar-SA"/>
        </w:rPr>
        <w:t>1</w:t>
      </w:r>
      <w:r>
        <w:rPr>
          <w:rFonts w:hint="eastAsia" w:ascii="仿宋_GB2312" w:hAnsi="Times New Roman" w:eastAsia="仿宋_GB2312" w:cs="Times New Roman"/>
          <w:i w:val="0"/>
          <w:kern w:val="2"/>
          <w:sz w:val="32"/>
          <w:szCs w:val="32"/>
          <w:lang w:val="en-US" w:eastAsia="zh-CN" w:bidi="ar-SA"/>
        </w:rPr>
        <w:t>月</w:t>
      </w:r>
      <w:r>
        <w:rPr>
          <w:rFonts w:hint="eastAsia" w:ascii="仿宋_GB2312" w:hAnsi="Times New Roman" w:cs="Times New Roman"/>
          <w:i w:val="0"/>
          <w:kern w:val="2"/>
          <w:sz w:val="32"/>
          <w:szCs w:val="32"/>
          <w:lang w:val="en-US" w:eastAsia="zh-CN" w:bidi="ar-SA"/>
        </w:rPr>
        <w:t>3</w:t>
      </w:r>
      <w:r>
        <w:rPr>
          <w:rFonts w:hint="eastAsia" w:ascii="仿宋_GB2312" w:hAnsi="Times New Roman" w:eastAsia="仿宋_GB2312" w:cs="Times New Roman"/>
          <w:i w:val="0"/>
          <w:kern w:val="2"/>
          <w:sz w:val="32"/>
          <w:szCs w:val="32"/>
          <w:lang w:val="en-US" w:eastAsia="zh-CN" w:bidi="ar-SA"/>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8251D8"/>
    <w:rsid w:val="2E06017E"/>
    <w:rsid w:val="35B15BEA"/>
    <w:rsid w:val="37726EA0"/>
    <w:rsid w:val="3A877B5E"/>
    <w:rsid w:val="48DB0307"/>
    <w:rsid w:val="4FAA60BD"/>
    <w:rsid w:val="786C1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jc w:val="both"/>
    </w:pPr>
    <w:rPr>
      <w:rFonts w:ascii="Times New Roman" w:hAnsi="Times New Roman" w:eastAsia="仿宋_GB2312" w:cs="Times New Roman"/>
      <w:kern w:val="2"/>
      <w:sz w:val="32"/>
      <w:szCs w:val="32"/>
      <w:lang w:val="en-US" w:eastAsia="zh-CN" w:bidi="ar-SA"/>
    </w:rPr>
  </w:style>
  <w:style w:type="character" w:default="1" w:styleId="9">
    <w:name w:val="Default Paragraph Font"/>
    <w:link w:val="10"/>
    <w:semiHidden/>
    <w:qFormat/>
    <w:uiPriority w:val="0"/>
    <w:rPr>
      <w:rFonts w:ascii="Tahoma" w:hAnsi="Tahoma" w:eastAsia="仿宋_GB2312"/>
      <w:sz w:val="32"/>
      <w:szCs w:val="32"/>
    </w:rPr>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spacing w:after="0" w:line="300" w:lineRule="auto"/>
      <w:ind w:left="0" w:leftChars="0"/>
    </w:pPr>
    <w:rPr>
      <w:rFonts w:hint="default" w:ascii="Calibri" w:hAnsi="Calibri"/>
      <w:i/>
      <w:sz w:val="21"/>
    </w:rPr>
  </w:style>
  <w:style w:type="paragraph" w:styleId="3">
    <w:name w:val="Body Text Indent"/>
    <w:basedOn w:val="1"/>
    <w:next w:val="4"/>
    <w:unhideWhenUsed/>
    <w:qFormat/>
    <w:uiPriority w:val="99"/>
    <w:pPr>
      <w:spacing w:after="120"/>
      <w:ind w:left="420" w:leftChars="200"/>
    </w:pPr>
    <w:rPr>
      <w:rFonts w:hint="default"/>
      <w:sz w:val="21"/>
    </w:rPr>
  </w:style>
  <w:style w:type="paragraph" w:styleId="4">
    <w:name w:val="Normal Indent"/>
    <w:basedOn w:val="1"/>
    <w:qFormat/>
    <w:uiPriority w:val="0"/>
    <w:pPr>
      <w:ind w:firstLine="420" w:firstLineChars="200"/>
    </w:pPr>
    <w:rPr>
      <w:rFonts w:eastAsia="仿宋"/>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semiHidden/>
    <w:qFormat/>
    <w:uiPriority w:val="0"/>
    <w:pPr>
      <w:jc w:val="left"/>
    </w:pPr>
    <w:rPr>
      <w:rFonts w:eastAsia="仿宋_GB2312"/>
      <w:kern w:val="0"/>
      <w:sz w:val="32"/>
      <w:szCs w:val="32"/>
    </w:rPr>
  </w:style>
  <w:style w:type="paragraph" w:customStyle="1" w:styleId="10">
    <w:name w:val="Char Char Char Char Char Char Char"/>
    <w:basedOn w:val="1"/>
    <w:link w:val="9"/>
    <w:qFormat/>
    <w:uiPriority w:val="0"/>
    <w:pPr>
      <w:widowControl w:val="0"/>
    </w:pPr>
    <w:rPr>
      <w:rFonts w:ascii="Tahoma" w:hAnsi="Tahoma" w:eastAsia="仿宋_GB2312"/>
      <w:sz w:val="32"/>
      <w:szCs w:val="32"/>
    </w:rPr>
  </w:style>
  <w:style w:type="character" w:styleId="11">
    <w:name w:val="page number"/>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2022-12-28T06:53:00Z</dcterms:created>
  <dc:creator>Administrator</dc:creator>
  <cp:lastModifiedBy>单飞龙</cp:lastModifiedBy>
  <cp:lastPrinted>2023-01-03T02:00:00Z</cp:lastPrinted>
  <dcterms:modified xsi:type="dcterms:W3CDTF">2023-01-03T02:29:55Z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