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left"/>
        <w:rPr>
          <w:rFonts w:hint="eastAsia" w:ascii="仿宋_GB2312" w:hAnsi="宋体" w:eastAsia="仿宋_GB2312" w:cs="宋体"/>
          <w:bCs/>
          <w:color w:val="000000"/>
          <w:sz w:val="30"/>
          <w:szCs w:val="30"/>
        </w:rPr>
      </w:pPr>
      <w:r>
        <w:rPr>
          <w:rFonts w:hint="eastAsia" w:ascii="仿宋_GB2312" w:hAnsi="宋体" w:eastAsia="仿宋_GB2312" w:cs="宋体"/>
          <w:bCs/>
          <w:color w:val="000000"/>
          <w:sz w:val="30"/>
          <w:szCs w:val="30"/>
        </w:rPr>
        <w:t>附件3-1</w:t>
      </w:r>
    </w:p>
    <w:p>
      <w:pPr>
        <w:spacing w:after="156" w:afterLines="50" w:line="360" w:lineRule="auto"/>
        <w:jc w:val="center"/>
        <w:rPr>
          <w:rFonts w:hint="eastAsia"/>
          <w:b/>
          <w:sz w:val="36"/>
          <w:szCs w:val="36"/>
        </w:rPr>
      </w:pPr>
      <w:r>
        <w:rPr>
          <w:rFonts w:hint="eastAsia"/>
          <w:b/>
          <w:sz w:val="36"/>
          <w:szCs w:val="36"/>
        </w:rPr>
        <w:t>沼液生态消纳参考使用量</w:t>
      </w:r>
    </w:p>
    <w:p>
      <w:pPr>
        <w:spacing w:after="156" w:afterLines="50" w:line="360" w:lineRule="auto"/>
        <w:jc w:val="left"/>
        <w:rPr>
          <w:rFonts w:hint="eastAsia" w:ascii="仿宋_GB2312" w:hAnsi="宋体" w:eastAsia="仿宋_GB2312" w:cs="宋体"/>
          <w:bCs/>
          <w:color w:val="000000"/>
          <w:sz w:val="30"/>
          <w:szCs w:val="30"/>
        </w:rPr>
      </w:pPr>
    </w:p>
    <w:p>
      <w:pPr>
        <w:spacing w:after="156" w:afterLines="50" w:line="360" w:lineRule="auto"/>
        <w:jc w:val="left"/>
        <w:rPr>
          <w:rFonts w:hint="eastAsia" w:ascii="仿宋_GB2312" w:hAnsi="仿宋" w:eastAsia="仿宋_GB2312" w:cs="仿宋"/>
          <w:sz w:val="30"/>
          <w:szCs w:val="30"/>
        </w:rPr>
      </w:pPr>
      <w:r>
        <w:rPr>
          <w:rFonts w:hint="eastAsia" w:ascii="仿宋_GB2312" w:hAnsi="宋体" w:eastAsia="仿宋_GB2312" w:cs="宋体"/>
          <w:bCs/>
          <w:color w:val="000000"/>
          <w:sz w:val="30"/>
          <w:szCs w:val="30"/>
        </w:rPr>
        <w:t xml:space="preserve">    根据《</w:t>
      </w:r>
      <w:r>
        <w:rPr>
          <w:rFonts w:hint="eastAsia" w:ascii="仿宋_GB2312" w:hAnsi="宋体" w:eastAsia="仿宋_GB2312" w:cs="宋体"/>
          <w:bCs/>
          <w:color w:val="000000"/>
          <w:sz w:val="30"/>
          <w:szCs w:val="30"/>
        </w:rPr>
        <w:fldChar w:fldCharType="begin"/>
      </w:r>
      <w:r>
        <w:rPr>
          <w:rFonts w:hint="eastAsia" w:ascii="仿宋_GB2312" w:hAnsi="宋体" w:eastAsia="仿宋_GB2312" w:cs="宋体"/>
          <w:bCs/>
          <w:color w:val="000000"/>
          <w:sz w:val="30"/>
          <w:szCs w:val="30"/>
        </w:rPr>
        <w:instrText xml:space="preserve"> HYPERLINK "https://hbba.sacinfo.org.cn/stdDetail/137d6713917176013fa5b08fbf0d95d94267fddcb9b3f0dec5a6cb5f78591792" \t "_blank" </w:instrText>
      </w:r>
      <w:r>
        <w:rPr>
          <w:rFonts w:hint="eastAsia" w:ascii="仿宋_GB2312" w:hAnsi="宋体" w:eastAsia="仿宋_GB2312" w:cs="宋体"/>
          <w:bCs/>
          <w:color w:val="000000"/>
          <w:sz w:val="30"/>
          <w:szCs w:val="30"/>
        </w:rPr>
        <w:fldChar w:fldCharType="separate"/>
      </w:r>
      <w:r>
        <w:rPr>
          <w:rFonts w:hint="eastAsia" w:ascii="仿宋_GB2312" w:hAnsi="宋体" w:eastAsia="仿宋_GB2312" w:cs="宋体"/>
          <w:bCs/>
          <w:color w:val="000000"/>
          <w:sz w:val="30"/>
          <w:szCs w:val="30"/>
        </w:rPr>
        <w:t>沼肥施用技术规范</w:t>
      </w:r>
      <w:r>
        <w:rPr>
          <w:rFonts w:hint="eastAsia" w:ascii="仿宋_GB2312" w:hAnsi="宋体" w:eastAsia="仿宋_GB2312" w:cs="宋体"/>
          <w:bCs/>
          <w:color w:val="000000"/>
          <w:sz w:val="30"/>
          <w:szCs w:val="30"/>
        </w:rPr>
        <w:fldChar w:fldCharType="end"/>
      </w:r>
      <w:r>
        <w:rPr>
          <w:rFonts w:hint="eastAsia" w:ascii="仿宋_GB2312" w:hAnsi="宋体" w:eastAsia="仿宋_GB2312" w:cs="宋体"/>
          <w:bCs/>
          <w:color w:val="000000"/>
          <w:sz w:val="30"/>
          <w:szCs w:val="30"/>
        </w:rPr>
        <w:t>》（中华人民共和国农业行业标准NY/T 2065-2011）、《沼液施用与生态消纳技术规范》（浙江省地方标准DB33/T 2376-2021），结合相关文献经验和行业部门多年经验，对以下作物使用沼液进行生态消纳给与参考使用量。消纳单位可以此参考使用量作为基数，按不超过1.5倍系数，作为</w:t>
      </w:r>
      <w:r>
        <w:rPr>
          <w:rFonts w:hint="eastAsia" w:ascii="仿宋_GB2312" w:hAnsi="仿宋" w:eastAsia="仿宋_GB2312" w:cs="仿宋"/>
          <w:sz w:val="30"/>
          <w:szCs w:val="30"/>
        </w:rPr>
        <w:t>消纳单位签订相关消纳协议书中关于沼液生态消纳理论最大处理值的计算公式。</w:t>
      </w:r>
    </w:p>
    <w:p>
      <w:pPr>
        <w:spacing w:after="156" w:afterLines="50"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rPr>
        <w:t xml:space="preserve">    水稻：10吨/亩</w:t>
      </w:r>
    </w:p>
    <w:p>
      <w:pPr>
        <w:spacing w:after="156" w:afterLines="50"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rPr>
        <w:t xml:space="preserve">    其他粮油作物：6吨/亩</w:t>
      </w:r>
    </w:p>
    <w:p>
      <w:pPr>
        <w:spacing w:after="156" w:afterLines="50"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rPr>
        <w:t xml:space="preserve">    柑橘：16吨/亩</w:t>
      </w:r>
    </w:p>
    <w:p>
      <w:pPr>
        <w:spacing w:after="156" w:afterLines="50" w:line="360" w:lineRule="auto"/>
        <w:jc w:val="left"/>
        <w:rPr>
          <w:rFonts w:hint="eastAsia" w:ascii="仿宋_GB2312" w:hAnsi="仿宋" w:eastAsia="仿宋_GB2312" w:cs="仿宋"/>
          <w:sz w:val="30"/>
          <w:szCs w:val="30"/>
        </w:rPr>
      </w:pPr>
      <w:r>
        <w:rPr>
          <w:rFonts w:hint="eastAsia" w:ascii="仿宋_GB2312" w:hAnsi="仿宋" w:eastAsia="仿宋_GB2312" w:cs="仿宋"/>
          <w:sz w:val="30"/>
          <w:szCs w:val="30"/>
        </w:rPr>
        <w:t xml:space="preserve">    番茄、黄瓜：2吨/亩</w:t>
      </w:r>
    </w:p>
    <w:p>
      <w:pPr>
        <w:spacing w:after="156" w:afterLines="50" w:line="360" w:lineRule="auto"/>
        <w:jc w:val="left"/>
        <w:rPr>
          <w:rFonts w:hint="eastAsia" w:ascii="仿宋_GB2312" w:hAnsi="宋体" w:eastAsia="仿宋_GB2312" w:cs="宋体"/>
          <w:bCs/>
          <w:color w:val="000000"/>
          <w:sz w:val="30"/>
          <w:szCs w:val="30"/>
        </w:rPr>
      </w:pPr>
      <w:r>
        <w:rPr>
          <w:rFonts w:hint="eastAsia" w:ascii="仿宋_GB2312" w:hAnsi="仿宋" w:eastAsia="仿宋_GB2312" w:cs="仿宋"/>
          <w:sz w:val="30"/>
          <w:szCs w:val="30"/>
        </w:rPr>
        <w:t xml:space="preserve">    未列入上述参考值的其他农作物，可按有关规定折算或同类作物间进行参照。</w:t>
      </w:r>
    </w:p>
    <w:p>
      <w:pPr>
        <w:spacing w:after="156" w:afterLines="50" w:line="360" w:lineRule="auto"/>
        <w:jc w:val="left"/>
        <w:rPr>
          <w:rFonts w:ascii="仿宋_GB2312" w:hAnsi="宋体" w:eastAsia="仿宋_GB2312" w:cs="宋体"/>
          <w:bCs/>
          <w:color w:val="000000"/>
          <w:sz w:val="30"/>
          <w:szCs w:val="30"/>
        </w:rPr>
      </w:pPr>
    </w:p>
    <w:p>
      <w:pPr>
        <w:spacing w:after="156" w:afterLines="50" w:line="360" w:lineRule="auto"/>
        <w:jc w:val="left"/>
        <w:rPr>
          <w:rFonts w:ascii="仿宋_GB2312" w:hAnsi="宋体" w:eastAsia="仿宋_GB2312" w:cs="宋体"/>
          <w:bCs/>
          <w:color w:val="000000"/>
          <w:sz w:val="30"/>
          <w:szCs w:val="30"/>
        </w:rPr>
      </w:pPr>
    </w:p>
    <w:p>
      <w:pPr>
        <w:spacing w:after="156" w:afterLines="50" w:line="360" w:lineRule="auto"/>
        <w:jc w:val="left"/>
        <w:rPr>
          <w:rFonts w:ascii="仿宋_GB2312" w:hAnsi="宋体" w:eastAsia="仿宋_GB2312" w:cs="宋体"/>
          <w:bCs/>
          <w:color w:val="000000"/>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928DF"/>
    <w:rsid w:val="62792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2024-02-28T08:50:00Z</dcterms:created>
  <dc:creator>Administrator</dc:creator>
  <cp:lastModifiedBy>Administrator</cp:lastModifiedBy>
  <dcterms:modified xsi:type="dcterms:W3CDTF">2024-02-28T08:54:23Z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C408FEAC5983488996139DED27F69B64</vt:lpwstr>
  </property>
</Properties>
</file>