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hAnsi="黑体" w:eastAsia="黑体"/>
          <w:sz w:val="32"/>
          <w:szCs w:val="32"/>
        </w:rPr>
        <w:t>附件</w:t>
      </w:r>
      <w:r>
        <w:rPr>
          <w:rFonts w:hint="eastAsia" w:ascii="黑体" w:hAnsi="宋体" w:eastAsia="黑体"/>
          <w:sz w:val="32"/>
          <w:szCs w:val="32"/>
        </w:rPr>
        <w:t>1</w:t>
      </w:r>
    </w:p>
    <w:p>
      <w:pPr>
        <w:rPr>
          <w:rFonts w:hint="eastAsia" w:ascii="黑体" w:hAnsi="宋体" w:eastAsia="黑体"/>
          <w:sz w:val="32"/>
          <w:szCs w:val="32"/>
        </w:rPr>
      </w:pPr>
      <w:r>
        <w:rPr>
          <w:rFonts w:hint="eastAsia" w:ascii="黑体" w:hAnsi="宋体" w:eastAsia="黑体"/>
          <w:sz w:val="32"/>
          <w:szCs w:val="32"/>
        </w:rPr>
        <w:t xml:space="preserve"> </w:t>
      </w:r>
    </w:p>
    <w:p>
      <w:pPr>
        <w:spacing w:line="720" w:lineRule="exact"/>
        <w:ind w:left="94" w:leftChars="45"/>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2022届镇海区</w:t>
      </w:r>
      <w:r>
        <w:rPr>
          <w:rFonts w:hint="eastAsia" w:ascii="方正小标宋简体" w:eastAsia="方正小标宋简体"/>
          <w:sz w:val="44"/>
          <w:szCs w:val="44"/>
        </w:rPr>
        <w:t>初中学业水平考试</w:t>
      </w:r>
      <w:r>
        <w:rPr>
          <w:rFonts w:hint="eastAsia" w:ascii="方正小标宋简体" w:hAnsi="华文中宋" w:eastAsia="方正小标宋简体"/>
          <w:sz w:val="44"/>
          <w:szCs w:val="44"/>
        </w:rPr>
        <w:t>体育考试</w:t>
      </w:r>
    </w:p>
    <w:p>
      <w:pPr>
        <w:spacing w:line="720" w:lineRule="exact"/>
        <w:ind w:left="94" w:leftChars="45"/>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日常成绩评分标准及考核办法</w:t>
      </w:r>
    </w:p>
    <w:p>
      <w:pPr>
        <w:adjustRightInd w:val="0"/>
        <w:rPr>
          <w:rFonts w:hint="eastAsia" w:ascii="仿宋_GB2312" w:hAnsi="华文中宋" w:eastAsia="仿宋_GB2312"/>
          <w:b/>
          <w:bCs/>
          <w:sz w:val="32"/>
          <w:szCs w:val="32"/>
        </w:rPr>
      </w:pPr>
      <w:r>
        <w:rPr>
          <w:rFonts w:hint="eastAsia" w:ascii="仿宋_GB2312" w:hAnsi="华文中宋" w:eastAsia="仿宋_GB2312"/>
          <w:b/>
          <w:bCs/>
          <w:sz w:val="32"/>
          <w:szCs w:val="32"/>
        </w:rPr>
        <w:t xml:space="preserve"> </w:t>
      </w:r>
    </w:p>
    <w:p>
      <w:pPr>
        <w:adjustRightInd w:val="0"/>
        <w:ind w:firstLine="627" w:firstLineChars="196"/>
        <w:rPr>
          <w:rFonts w:hint="eastAsia" w:ascii="黑体" w:hAnsi="宋体" w:eastAsia="黑体"/>
          <w:sz w:val="32"/>
          <w:szCs w:val="32"/>
        </w:rPr>
      </w:pPr>
      <w:r>
        <w:rPr>
          <w:rFonts w:hint="eastAsia" w:ascii="黑体" w:hAnsi="黑体" w:eastAsia="黑体"/>
          <w:sz w:val="32"/>
          <w:szCs w:val="32"/>
        </w:rPr>
        <w:t>一、考核内容及分值</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学生日常体育成绩考核内容由学习态度、学习能力两方面组成，满分10分，其中学习态度4分，学习能力6分。</w:t>
      </w:r>
    </w:p>
    <w:p>
      <w:pPr>
        <w:adjustRightInd w:val="0"/>
        <w:ind w:firstLine="627" w:firstLineChars="196"/>
        <w:rPr>
          <w:rFonts w:hint="eastAsia" w:ascii="黑体" w:hAnsi="宋体" w:eastAsia="黑体"/>
          <w:sz w:val="32"/>
          <w:szCs w:val="32"/>
        </w:rPr>
      </w:pPr>
      <w:r>
        <w:rPr>
          <w:rFonts w:hint="eastAsia" w:ascii="黑体" w:hAnsi="黑体" w:eastAsia="黑体"/>
          <w:sz w:val="32"/>
          <w:szCs w:val="32"/>
        </w:rPr>
        <w:t>二、考核及评分标准</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1．学习态度</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由学生参加体育课、体育活动出勤率和学习表现两部分组成。</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（1）出勤率</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学生参加体育课、大课间活动、课外体育活动（以下统称为体育活动）的总体出勤率达到95%以上为优秀，85%—94%为良好，75%—84%为合格，75%以下为不合格。</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（2）学习表现</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学生参加体育活动总体表现，包括完成教师安排的体育学习任务，参加班级或学校集体性体育活动以及平时自觉参加体育锻炼时表现。整体评价为优秀、良好、合格、不合格。</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以上两项总评，优秀4分、良好3分、合格2分，不合格0分。</w:t>
      </w:r>
    </w:p>
    <w:p>
      <w:pPr>
        <w:adjustRightInd w:val="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2．学习能力</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由学生参加体育活动及《国家学生体质健康标准》测试两部分成绩组成。</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（1）体育活动学习能力</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按照初中《体育与健康》课程要求进行评价。学生体育课平均成绩85分及以上者为优秀，75—84分为良好，60—74分为合格，59分以下为不合格。</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（2）《国家学生体质健康标准》测试成绩</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依据《国家学生体质健康标准》全市统一年度测试内容和标准，对学生身体形态、身体机能、身体素质、运动能力以及每天体育锻炼一小时情况进行综合评价，按照测试结果给予相应分值，学生《国家学生体质健康标准》测试成绩90.0分及以上者为优秀、80.0—89.9分为良好、60.0—79.9分为合格、59.9分及以下为不合格。</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以上两项总评，优秀6分、良好5分、合格4分、不合格2分。</w:t>
      </w:r>
    </w:p>
    <w:p>
      <w:pPr>
        <w:adjustRightInd w:val="0"/>
        <w:spacing w:line="560" w:lineRule="exact"/>
        <w:ind w:firstLine="627" w:firstLineChars="196"/>
        <w:rPr>
          <w:rFonts w:hint="eastAsia" w:ascii="黑体" w:hAnsi="宋体" w:eastAsia="黑体"/>
          <w:sz w:val="32"/>
          <w:szCs w:val="32"/>
        </w:rPr>
      </w:pPr>
      <w:r>
        <w:rPr>
          <w:rFonts w:hint="eastAsia" w:ascii="黑体" w:hAnsi="黑体" w:eastAsia="黑体"/>
          <w:sz w:val="32"/>
          <w:szCs w:val="32"/>
        </w:rPr>
        <w:t>三、考核办法</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日常体育考核由学校统筹组织，考核办法及结果必须进行公示，经核准无异议方能记入中考体育总成绩。2022届初中毕业生日常体育考核学习能力成绩由八年级至九年级两个学年平均成绩组成。</w:t>
      </w:r>
    </w:p>
    <w:p>
      <w:pPr>
        <w:adjustRightInd w:val="0"/>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tbl>
      <w:tblPr>
        <w:tblStyle w:val="5"/>
        <w:tblW w:w="8950" w:type="dxa"/>
        <w:tblInd w:w="93" w:type="dxa"/>
        <w:tblLayout w:type="fixed"/>
        <w:tblCellMar>
          <w:top w:w="0" w:type="dxa"/>
          <w:left w:w="108" w:type="dxa"/>
          <w:bottom w:w="0" w:type="dxa"/>
          <w:right w:w="108" w:type="dxa"/>
        </w:tblCellMar>
      </w:tblPr>
      <w:tblGrid>
        <w:gridCol w:w="1008"/>
        <w:gridCol w:w="921"/>
        <w:gridCol w:w="638"/>
        <w:gridCol w:w="567"/>
        <w:gridCol w:w="569"/>
        <w:gridCol w:w="565"/>
        <w:gridCol w:w="850"/>
        <w:gridCol w:w="1418"/>
        <w:gridCol w:w="567"/>
        <w:gridCol w:w="567"/>
        <w:gridCol w:w="1280"/>
      </w:tblGrid>
      <w:tr>
        <w:tblPrEx>
          <w:tblCellMar>
            <w:top w:w="0" w:type="dxa"/>
            <w:left w:w="108" w:type="dxa"/>
            <w:bottom w:w="0" w:type="dxa"/>
            <w:right w:w="108" w:type="dxa"/>
          </w:tblCellMar>
        </w:tblPrEx>
        <w:trPr>
          <w:trHeight w:val="2496" w:hRule="atLeast"/>
        </w:trPr>
        <w:tc>
          <w:tcPr>
            <w:tcW w:w="8950" w:type="dxa"/>
            <w:gridSpan w:val="11"/>
            <w:tcBorders>
              <w:top w:val="nil"/>
              <w:left w:val="nil"/>
              <w:bottom w:val="single" w:color="auto" w:sz="4" w:space="0"/>
              <w:right w:val="nil"/>
            </w:tcBorders>
            <w:noWrap/>
            <w:vAlign w:val="center"/>
          </w:tcPr>
          <w:p>
            <w:pPr>
              <w:widowControl/>
              <w:jc w:val="center"/>
              <w:rPr>
                <w:rFonts w:hint="eastAsia" w:ascii="方正小标宋简体" w:hAnsi="宋体" w:eastAsia="方正小标宋简体"/>
                <w:color w:val="000000"/>
                <w:spacing w:val="-20"/>
                <w:kern w:val="0"/>
                <w:sz w:val="40"/>
                <w:szCs w:val="40"/>
              </w:rPr>
            </w:pPr>
            <w:r>
              <w:rPr>
                <w:rFonts w:hint="eastAsia" w:ascii="方正小标宋简体" w:hAnsi="宋体" w:eastAsia="方正小标宋简体"/>
                <w:color w:val="000000"/>
                <w:spacing w:val="-20"/>
                <w:kern w:val="0"/>
                <w:sz w:val="40"/>
                <w:szCs w:val="40"/>
              </w:rPr>
              <w:t>2022届镇海区初中毕业生体育考试日常成绩汇总表</w:t>
            </w:r>
          </w:p>
          <w:p>
            <w:pPr>
              <w:widowControl/>
              <w:jc w:val="left"/>
              <w:rPr>
                <w:rFonts w:hint="eastAsia" w:ascii="宋体" w:hAnsi="宋体"/>
                <w:color w:val="000000"/>
                <w:kern w:val="0"/>
                <w:sz w:val="28"/>
                <w:szCs w:val="28"/>
              </w:rPr>
            </w:pPr>
          </w:p>
          <w:p>
            <w:pPr>
              <w:widowControl/>
              <w:jc w:val="left"/>
              <w:rPr>
                <w:rFonts w:hint="eastAsia" w:ascii="宋体" w:hAnsi="宋体"/>
                <w:color w:val="000000"/>
                <w:kern w:val="0"/>
                <w:sz w:val="28"/>
                <w:szCs w:val="28"/>
              </w:rPr>
            </w:pPr>
            <w:r>
              <w:rPr>
                <w:rFonts w:hint="eastAsia" w:ascii="宋体" w:hAnsi="宋体"/>
                <w:color w:val="000000"/>
                <w:kern w:val="0"/>
                <w:sz w:val="28"/>
                <w:szCs w:val="28"/>
              </w:rPr>
              <w:t xml:space="preserve">学校（盖章）：            </w:t>
            </w:r>
          </w:p>
          <w:p>
            <w:pPr>
              <w:jc w:val="left"/>
              <w:rPr>
                <w:rFonts w:ascii="宋体" w:hAnsi="宋体"/>
                <w:color w:val="000000"/>
                <w:kern w:val="0"/>
                <w:sz w:val="40"/>
                <w:szCs w:val="40"/>
              </w:rPr>
            </w:pPr>
            <w:r>
              <w:rPr>
                <w:rFonts w:hint="eastAsia" w:ascii="宋体" w:hAnsi="宋体"/>
                <w:color w:val="000000"/>
                <w:kern w:val="0"/>
                <w:sz w:val="28"/>
                <w:szCs w:val="28"/>
              </w:rPr>
              <w:t>校长（签字）：                    填表人（签字）：</w:t>
            </w:r>
          </w:p>
        </w:tc>
      </w:tr>
      <w:tr>
        <w:tblPrEx>
          <w:tblCellMar>
            <w:top w:w="0" w:type="dxa"/>
            <w:left w:w="108" w:type="dxa"/>
            <w:bottom w:w="0" w:type="dxa"/>
            <w:right w:w="108" w:type="dxa"/>
          </w:tblCellMar>
        </w:tblPrEx>
        <w:trPr>
          <w:trHeight w:val="375" w:hRule="atLeast"/>
        </w:trPr>
        <w:tc>
          <w:tcPr>
            <w:tcW w:w="100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报名序号</w:t>
            </w:r>
          </w:p>
        </w:tc>
        <w:tc>
          <w:tcPr>
            <w:tcW w:w="921" w:type="dxa"/>
            <w:vMerge w:val="restart"/>
            <w:tcBorders>
              <w:top w:val="single" w:color="auto" w:sz="4" w:space="0"/>
              <w:left w:val="nil"/>
              <w:bottom w:val="single" w:color="000000" w:sz="4" w:space="0"/>
              <w:right w:val="single" w:color="auto" w:sz="4" w:space="0"/>
            </w:tcBorders>
            <w:noWrap/>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姓名</w:t>
            </w:r>
          </w:p>
        </w:tc>
        <w:tc>
          <w:tcPr>
            <w:tcW w:w="2339"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学习态度</w:t>
            </w:r>
          </w:p>
        </w:tc>
        <w:tc>
          <w:tcPr>
            <w:tcW w:w="3402"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学习能力</w:t>
            </w:r>
          </w:p>
        </w:tc>
        <w:tc>
          <w:tcPr>
            <w:tcW w:w="1280" w:type="dxa"/>
            <w:vMerge w:val="restart"/>
            <w:tcBorders>
              <w:top w:val="single" w:color="auto" w:sz="4" w:space="0"/>
              <w:left w:val="nil"/>
              <w:bottom w:val="nil"/>
              <w:right w:val="single" w:color="auto" w:sz="4" w:space="0"/>
            </w:tcBorders>
            <w:noWrap/>
            <w:vAlign w:val="center"/>
          </w:tcPr>
          <w:p>
            <w:pPr>
              <w:jc w:val="center"/>
              <w:rPr>
                <w:rFonts w:ascii="宋体" w:hAnsi="宋体"/>
                <w:color w:val="000000"/>
                <w:kern w:val="0"/>
                <w:sz w:val="28"/>
                <w:szCs w:val="28"/>
              </w:rPr>
            </w:pPr>
            <w:r>
              <w:rPr>
                <w:rFonts w:hint="eastAsia" w:ascii="宋体" w:hAnsi="宋体"/>
                <w:color w:val="000000"/>
                <w:kern w:val="0"/>
                <w:sz w:val="28"/>
                <w:szCs w:val="28"/>
              </w:rPr>
              <w:t>体育日常成绩</w:t>
            </w:r>
          </w:p>
        </w:tc>
      </w:tr>
      <w:tr>
        <w:tblPrEx>
          <w:tblCellMar>
            <w:top w:w="0" w:type="dxa"/>
            <w:left w:w="108" w:type="dxa"/>
            <w:bottom w:w="0" w:type="dxa"/>
            <w:right w:w="108" w:type="dxa"/>
          </w:tblCellMar>
        </w:tblPrEx>
        <w:trPr>
          <w:trHeight w:val="1485" w:hRule="atLeast"/>
        </w:trPr>
        <w:tc>
          <w:tcPr>
            <w:tcW w:w="89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kern w:val="0"/>
                <w:sz w:val="28"/>
                <w:szCs w:val="28"/>
              </w:rPr>
            </w:pPr>
          </w:p>
        </w:tc>
        <w:tc>
          <w:tcPr>
            <w:tcW w:w="921" w:type="dxa"/>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color w:val="000000"/>
                <w:kern w:val="0"/>
                <w:sz w:val="28"/>
                <w:szCs w:val="28"/>
              </w:rPr>
            </w:pPr>
          </w:p>
        </w:tc>
        <w:tc>
          <w:tcPr>
            <w:tcW w:w="63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出勤率</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学习表现</w:t>
            </w:r>
          </w:p>
        </w:tc>
        <w:tc>
          <w:tcPr>
            <w:tcW w:w="56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总评</w:t>
            </w:r>
          </w:p>
        </w:tc>
        <w:tc>
          <w:tcPr>
            <w:tcW w:w="565"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得分</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体育活动学习能力</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《国家学生体质健康标准》测试</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总评</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28"/>
                <w:szCs w:val="28"/>
              </w:rPr>
            </w:pPr>
            <w:r>
              <w:rPr>
                <w:rFonts w:hint="eastAsia" w:ascii="宋体" w:hAnsi="宋体"/>
                <w:color w:val="000000"/>
                <w:kern w:val="0"/>
                <w:sz w:val="28"/>
                <w:szCs w:val="28"/>
              </w:rPr>
              <w:t>得分</w:t>
            </w:r>
          </w:p>
        </w:tc>
        <w:tc>
          <w:tcPr>
            <w:tcW w:w="1280" w:type="dxa"/>
            <w:vMerge w:val="continue"/>
            <w:tcBorders>
              <w:top w:val="single" w:color="auto" w:sz="4" w:space="0"/>
              <w:left w:val="nil"/>
              <w:bottom w:val="nil"/>
              <w:right w:val="single" w:color="auto" w:sz="4" w:space="0"/>
            </w:tcBorders>
            <w:vAlign w:val="center"/>
          </w:tcPr>
          <w:p>
            <w:pPr>
              <w:widowControl/>
              <w:jc w:val="left"/>
              <w:rPr>
                <w:rFonts w:ascii="宋体" w:hAnsi="宋体"/>
                <w:color w:val="000000"/>
                <w:kern w:val="0"/>
                <w:sz w:val="28"/>
                <w:szCs w:val="28"/>
              </w:rPr>
            </w:pP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CellMar>
            <w:top w:w="0" w:type="dxa"/>
            <w:left w:w="108" w:type="dxa"/>
            <w:bottom w:w="0" w:type="dxa"/>
            <w:right w:w="108" w:type="dxa"/>
          </w:tblCellMar>
        </w:tblPrEx>
        <w:trPr>
          <w:trHeight w:val="465" w:hRule="atLeast"/>
        </w:trPr>
        <w:tc>
          <w:tcPr>
            <w:tcW w:w="1008"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921"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63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9"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5"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85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1280"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bl>
    <w:p>
      <w:pPr>
        <w:rPr>
          <w:rFonts w:hint="eastAsia" w:ascii="仿宋_GB2312" w:eastAsia="仿宋_GB2312"/>
          <w:sz w:val="28"/>
          <w:szCs w:val="28"/>
        </w:rPr>
      </w:pPr>
      <w:bookmarkStart w:id="0" w:name="_GoBack"/>
      <w:bookmarkEnd w:id="0"/>
    </w:p>
    <w:sectPr>
      <w:footerReference r:id="rId3" w:type="default"/>
      <w:footerReference r:id="rId4" w:type="even"/>
      <w:pgSz w:w="11906" w:h="16838"/>
      <w:pgMar w:top="2098" w:right="1361"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27001"/>
      <w:docPartObj>
        <w:docPartGallery w:val="AutoText"/>
      </w:docPartObj>
    </w:sdtPr>
    <w:sdtEndPr>
      <w:rPr>
        <w:rFonts w:asciiTheme="minorEastAsia" w:hAnsiTheme="minorEastAsia" w:eastAsiaTheme="minorEastAsia"/>
        <w:sz w:val="28"/>
        <w:szCs w:val="28"/>
      </w:rPr>
    </w:sdtEndPr>
    <w:sdtContent>
      <w:p>
        <w:pPr>
          <w:pStyle w:val="3"/>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27</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13127014"/>
        <w:docPartObj>
          <w:docPartGallery w:val="AutoText"/>
        </w:docPartObj>
      </w:sdtPr>
      <w:sdtEndPr>
        <w:rPr>
          <w:rFonts w:ascii="Times New Roman" w:hAnsi="Times New Roman" w:eastAsia="宋体"/>
          <w:sz w:val="18"/>
          <w:szCs w:val="1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6C32"/>
    <w:rsid w:val="00207DB2"/>
    <w:rsid w:val="00331803"/>
    <w:rsid w:val="00C72BA3"/>
    <w:rsid w:val="00D56AAB"/>
    <w:rsid w:val="00EB6C32"/>
    <w:rsid w:val="55E96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7"/>
    <w:unhideWhenUsed/>
    <w:uiPriority w:val="99"/>
    <w:pPr>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rFonts w:ascii="Times New Roman" w:hAnsi="Times New Roman" w:eastAsia="宋体" w:cs="Times New Roman"/>
      <w:sz w:val="18"/>
      <w:szCs w:val="18"/>
    </w:rPr>
  </w:style>
  <w:style w:type="character" w:customStyle="1" w:styleId="8">
    <w:name w:val="页眉 Char"/>
    <w:basedOn w:val="6"/>
    <w:link w:val="4"/>
    <w:semiHidden/>
    <w:uiPriority w:val="99"/>
    <w:rPr>
      <w:rFonts w:ascii="Times New Roman" w:hAnsi="Times New Roman" w:eastAsia="宋体" w:cs="Times New Roman"/>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28</Pages>
  <Words>1852</Words>
  <Characters>10560</Characters>
  <Lines>88</Lines>
  <Paragraphs>24</Paragraphs>
  <TotalTime>1</TotalTime>
  <ScaleCrop>false</ScaleCrop>
  <LinksUpToDate>false</LinksUpToDate>
  <CharactersWithSpaces>12388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2022-02-17T06:52:00Z</dcterms:created>
  <dc:creator>区教育局</dc:creator>
  <cp:lastModifiedBy>张志钧</cp:lastModifiedBy>
  <dcterms:modified xsi:type="dcterms:W3CDTF">2022-02-25T09:01:17Z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