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kern w:val="0"/>
          <w:sz w:val="44"/>
          <w:szCs w:val="44"/>
          <w:lang w:eastAsia="zh-CN"/>
        </w:rPr>
      </w:pPr>
      <w:r>
        <w:rPr>
          <w:rFonts w:hint="eastAsia" w:ascii="方正小标宋简体" w:hAnsi="Times New Roman" w:eastAsia="方正小标宋简体" w:cs="Times New Roman"/>
          <w:kern w:val="0"/>
          <w:sz w:val="44"/>
          <w:szCs w:val="44"/>
        </w:rPr>
        <w:t>宁波市镇海区</w:t>
      </w:r>
      <w:r>
        <w:rPr>
          <w:rFonts w:hint="eastAsia" w:ascii="方正小标宋简体" w:hAnsi="Times New Roman" w:eastAsia="方正小标宋简体" w:cs="Times New Roman"/>
          <w:kern w:val="0"/>
          <w:sz w:val="44"/>
          <w:szCs w:val="44"/>
          <w:lang w:eastAsia="zh-CN"/>
        </w:rPr>
        <w:t>机关事务管理局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202</w:t>
      </w:r>
      <w:r>
        <w:rPr>
          <w:rFonts w:hint="eastAsia" w:ascii="方正小标宋简体" w:hAnsi="Times New Roman" w:eastAsia="方正小标宋简体" w:cs="Times New Roman"/>
          <w:kern w:val="0"/>
          <w:sz w:val="44"/>
          <w:szCs w:val="44"/>
          <w:lang w:val="en-US" w:eastAsia="zh-CN"/>
        </w:rPr>
        <w:t>3</w:t>
      </w:r>
      <w:r>
        <w:rPr>
          <w:rFonts w:hint="eastAsia" w:ascii="方正小标宋简体" w:hAnsi="Times New Roman" w:eastAsia="方正小标宋简体" w:cs="Times New Roman"/>
          <w:kern w:val="0"/>
          <w:sz w:val="44"/>
          <w:szCs w:val="44"/>
        </w:rPr>
        <w:t>年度政府信息公开工作年度报告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sz w:val="36"/>
          <w:szCs w:val="44"/>
          <w:lang w:val="en-US" w:eastAsia="zh-CN"/>
        </w:rPr>
      </w:pP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kern w:val="2"/>
          <w:sz w:val="32"/>
          <w:szCs w:val="32"/>
          <w:lang w:val="en-US" w:eastAsia="zh-CN" w:bidi="ar-SA"/>
        </w:rPr>
      </w:pPr>
      <w:r>
        <w:rPr>
          <w:rFonts w:hint="eastAsia" w:ascii="Times New Roman" w:hAnsi="Times New Roman" w:eastAsia="仿宋_GB2312" w:cs="Times New Roman"/>
          <w:i w:val="0"/>
          <w:kern w:val="2"/>
          <w:sz w:val="32"/>
          <w:szCs w:val="32"/>
          <w:lang w:val="en-US" w:eastAsia="zh-CN" w:bidi="ar-SA"/>
        </w:rPr>
        <w:t>编制说明：本年度报告是根据《中华人民共和国政府信息公开条例》（以下简称《条例》）及省、市、区政府对政务信息公开工作</w:t>
      </w:r>
      <w:r>
        <w:rPr>
          <w:rFonts w:hint="eastAsia" w:ascii="Times New Roman" w:hAnsi="Times New Roman" w:cs="Times New Roman"/>
          <w:i w:val="0"/>
          <w:kern w:val="2"/>
          <w:sz w:val="32"/>
          <w:szCs w:val="32"/>
          <w:lang w:val="en-US" w:eastAsia="zh-CN" w:bidi="ar-SA"/>
        </w:rPr>
        <w:t>有关</w:t>
      </w:r>
      <w:r>
        <w:rPr>
          <w:rFonts w:hint="eastAsia" w:ascii="Times New Roman" w:hAnsi="Times New Roman" w:eastAsia="仿宋_GB2312" w:cs="Times New Roman"/>
          <w:i w:val="0"/>
          <w:kern w:val="2"/>
          <w:sz w:val="32"/>
          <w:szCs w:val="32"/>
          <w:lang w:val="en-US" w:eastAsia="zh-CN" w:bidi="ar-SA"/>
        </w:rPr>
        <w:t>要求</w:t>
      </w:r>
      <w:r>
        <w:rPr>
          <w:rFonts w:hint="eastAsia" w:ascii="Times New Roman" w:hAnsi="Times New Roman" w:cs="Times New Roman"/>
          <w:i w:val="0"/>
          <w:kern w:val="2"/>
          <w:sz w:val="32"/>
          <w:szCs w:val="32"/>
          <w:lang w:val="en-US" w:eastAsia="zh-CN" w:bidi="ar-SA"/>
        </w:rPr>
        <w:t>，由镇海区机关事务管理局编制。全文包括总体情况、主动公开政府信息情况、收到和处理政府信息公开申请情况、政府信息公开行政复议、行政诉讼情况、存在的主要问题及改进情况、其他需要报告的事项。本年度报告所列数据的统计期限自2023年1月1日起至2023年12月31日止。如对本报告所涉内容有咨询或疑问，请与宁波市镇海区机关事务管理局联系（地址：宁波市镇海区民和路569号区机关事务管理局办公室，邮编：315200,电话:0574-89287016）。</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Times New Roman"/>
          <w:kern w:val="0"/>
          <w:sz w:val="32"/>
          <w:szCs w:val="32"/>
          <w:lang w:val="en-US" w:eastAsia="zh-CN" w:bidi="ar-SA"/>
        </w:rPr>
      </w:pPr>
      <w:r>
        <w:rPr>
          <w:rFonts w:hint="eastAsia" w:ascii="黑体" w:hAnsi="黑体" w:eastAsia="黑体" w:cs="Times New Roman"/>
          <w:kern w:val="0"/>
          <w:sz w:val="32"/>
          <w:szCs w:val="32"/>
          <w:lang w:val="en-US" w:eastAsia="zh-CN" w:bidi="ar-SA"/>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kern w:val="2"/>
          <w:sz w:val="32"/>
          <w:szCs w:val="32"/>
          <w:lang w:val="en-US" w:eastAsia="zh-CN" w:bidi="ar-SA"/>
        </w:rPr>
      </w:pPr>
      <w:r>
        <w:rPr>
          <w:rFonts w:hint="eastAsia" w:ascii="Times New Roman" w:hAnsi="Times New Roman" w:eastAsia="仿宋_GB2312" w:cs="Times New Roman"/>
          <w:i w:val="0"/>
          <w:kern w:val="2"/>
          <w:sz w:val="32"/>
          <w:szCs w:val="32"/>
          <w:lang w:val="en-US" w:eastAsia="zh-CN" w:bidi="ar-SA"/>
        </w:rPr>
        <w:t>2023年，镇海区机关事务管理局坚持以习近平新时代中国特色社会主义思想为指导，认真贯彻落实《中华人民共和国政府信息公开条例》要求，紧紧围绕区委区政府中心工作，按照“公开为原则，不公开为例外”总体要求，积极推进政务信息公开工作，着力提升政府信息公开质量，推进拓宽政府信息公开渠道，增强政府信息公开实效，确保我局信息公开工作高质量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i w:val="0"/>
          <w:kern w:val="2"/>
          <w:sz w:val="32"/>
          <w:szCs w:val="32"/>
          <w:lang w:val="en-US" w:eastAsia="zh-CN" w:bidi="ar-SA"/>
        </w:rPr>
      </w:pPr>
      <w:r>
        <w:rPr>
          <w:rFonts w:hint="eastAsia" w:ascii="楷体_GB2312" w:hAnsi="楷体_GB2312" w:eastAsia="楷体_GB2312" w:cs="楷体_GB2312"/>
          <w:i w:val="0"/>
          <w:kern w:val="2"/>
          <w:sz w:val="32"/>
          <w:szCs w:val="32"/>
          <w:lang w:val="en-US" w:eastAsia="zh-CN" w:bidi="ar-SA"/>
        </w:rPr>
        <w:t>（一）主动公开政府信息情况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kern w:val="2"/>
          <w:sz w:val="32"/>
          <w:szCs w:val="32"/>
          <w:lang w:val="en-US" w:eastAsia="zh-CN" w:bidi="ar-SA"/>
        </w:rPr>
      </w:pPr>
      <w:r>
        <w:rPr>
          <w:rFonts w:hint="eastAsia" w:ascii="Times New Roman" w:hAnsi="Times New Roman" w:eastAsia="仿宋_GB2312" w:cs="Times New Roman"/>
          <w:i w:val="0"/>
          <w:kern w:val="2"/>
          <w:sz w:val="32"/>
          <w:szCs w:val="32"/>
          <w:lang w:val="en-US" w:eastAsia="zh-CN" w:bidi="ar-SA"/>
        </w:rPr>
        <w:t>全年主动公开政府信息数8条。其中，通过信息公开平台公开信息8条，其中机构概况3条，通知公告2条，计划总结1条，人事任免1条，部门预决算公开1条。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i w:val="0"/>
          <w:kern w:val="2"/>
          <w:sz w:val="32"/>
          <w:szCs w:val="32"/>
          <w:lang w:val="en-US" w:eastAsia="zh-CN" w:bidi="ar-SA"/>
        </w:rPr>
      </w:pPr>
      <w:r>
        <w:rPr>
          <w:rFonts w:hint="eastAsia" w:ascii="楷体_GB2312" w:hAnsi="楷体_GB2312" w:eastAsia="楷体_GB2312" w:cs="楷体_GB2312"/>
          <w:i w:val="0"/>
          <w:kern w:val="2"/>
          <w:sz w:val="32"/>
          <w:szCs w:val="32"/>
          <w:lang w:val="en-US" w:eastAsia="zh-CN" w:bidi="ar-SA"/>
        </w:rPr>
        <w:t>（二）依申请公开情况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kern w:val="2"/>
          <w:sz w:val="32"/>
          <w:szCs w:val="32"/>
          <w:lang w:val="en-US" w:eastAsia="zh-CN" w:bidi="ar-SA"/>
        </w:rPr>
      </w:pPr>
      <w:r>
        <w:rPr>
          <w:rFonts w:hint="eastAsia" w:ascii="Times New Roman" w:hAnsi="Times New Roman" w:eastAsia="仿宋_GB2312" w:cs="Times New Roman"/>
          <w:i w:val="0"/>
          <w:kern w:val="2"/>
          <w:sz w:val="32"/>
          <w:szCs w:val="32"/>
          <w:lang w:val="en-US" w:eastAsia="zh-CN" w:bidi="ar-SA"/>
        </w:rPr>
        <w:t>2023年，无依申请公开内容。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i w:val="0"/>
          <w:kern w:val="2"/>
          <w:sz w:val="32"/>
          <w:szCs w:val="32"/>
          <w:lang w:val="en-US" w:eastAsia="zh-CN" w:bidi="ar-SA"/>
        </w:rPr>
      </w:pPr>
      <w:r>
        <w:rPr>
          <w:rFonts w:hint="eastAsia" w:ascii="楷体_GB2312" w:hAnsi="楷体_GB2312" w:eastAsia="楷体_GB2312" w:cs="楷体_GB2312"/>
          <w:i w:val="0"/>
          <w:kern w:val="2"/>
          <w:sz w:val="32"/>
          <w:szCs w:val="32"/>
          <w:lang w:val="en-US" w:eastAsia="zh-CN" w:bidi="ar-SA"/>
        </w:rPr>
        <w:t>（三）政府信息管理情况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Times New Roman" w:hAnsi="Times New Roman" w:eastAsia="仿宋_GB2312" w:cs="Times New Roman"/>
          <w:i w:val="0"/>
          <w:kern w:val="2"/>
          <w:sz w:val="32"/>
          <w:szCs w:val="32"/>
          <w:lang w:val="en-US" w:eastAsia="zh-CN" w:bidi="ar-SA"/>
        </w:rPr>
        <w:t>建立按规定程序办理政府信息公开的工作机制，严格遵循政府信息公开基本原则，建立健全信息发布审查机制，规范发布程序，加强公开内容审核和保密审查，切实做好信息公开登记、审核、办理、归档工作，确保公开内容准确无误，做到依法公开，注重实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kern w:val="2"/>
          <w:sz w:val="32"/>
          <w:szCs w:val="32"/>
          <w:lang w:val="en-US" w:eastAsia="zh-CN" w:bidi="ar-SA"/>
        </w:rPr>
      </w:pPr>
      <w:r>
        <w:rPr>
          <w:rFonts w:hint="eastAsia" w:ascii="楷体_GB2312" w:hAnsi="楷体_GB2312" w:eastAsia="楷体_GB2312" w:cs="楷体_GB2312"/>
          <w:i w:val="0"/>
          <w:kern w:val="2"/>
          <w:sz w:val="32"/>
          <w:szCs w:val="32"/>
          <w:lang w:val="en-US" w:eastAsia="zh-CN" w:bidi="ar-SA"/>
        </w:rPr>
        <w:t>（四）政府信息公开平台建设情况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kern w:val="2"/>
          <w:sz w:val="32"/>
          <w:szCs w:val="32"/>
          <w:lang w:val="en-US" w:eastAsia="zh-CN" w:bidi="ar-SA"/>
        </w:rPr>
      </w:pPr>
      <w:r>
        <w:rPr>
          <w:rFonts w:hint="eastAsia" w:ascii="Times New Roman" w:hAnsi="Times New Roman" w:eastAsia="仿宋_GB2312" w:cs="Times New Roman"/>
          <w:i w:val="0"/>
          <w:kern w:val="2"/>
          <w:sz w:val="32"/>
          <w:szCs w:val="32"/>
          <w:lang w:val="en-US" w:eastAsia="zh-CN" w:bidi="ar-SA"/>
        </w:rPr>
        <w:t>我局严格按照镇海区政府要求进行部署。</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i w:val="0"/>
          <w:kern w:val="2"/>
          <w:sz w:val="32"/>
          <w:szCs w:val="32"/>
          <w:lang w:val="en-US" w:eastAsia="zh-CN" w:bidi="ar-SA"/>
        </w:rPr>
      </w:pPr>
      <w:r>
        <w:rPr>
          <w:rFonts w:hint="eastAsia" w:ascii="楷体_GB2312" w:hAnsi="楷体_GB2312" w:eastAsia="楷体_GB2312" w:cs="楷体_GB2312"/>
          <w:i w:val="0"/>
          <w:kern w:val="2"/>
          <w:sz w:val="32"/>
          <w:szCs w:val="32"/>
          <w:lang w:val="en-US" w:eastAsia="zh-CN" w:bidi="ar-SA"/>
        </w:rPr>
        <w:t>（五）监督保障情况</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kern w:val="2"/>
          <w:sz w:val="32"/>
          <w:szCs w:val="32"/>
          <w:lang w:val="en-US" w:eastAsia="zh-CN" w:bidi="ar-SA"/>
        </w:rPr>
      </w:pPr>
      <w:r>
        <w:rPr>
          <w:rFonts w:hint="eastAsia" w:ascii="Times New Roman" w:hAnsi="Times New Roman" w:eastAsia="仿宋_GB2312" w:cs="Times New Roman"/>
          <w:i w:val="0"/>
          <w:kern w:val="2"/>
          <w:sz w:val="32"/>
          <w:szCs w:val="32"/>
          <w:lang w:val="en-US" w:eastAsia="zh-CN" w:bidi="ar-SA"/>
        </w:rPr>
        <w:t>坚持把政务公开作为一项重要</w:t>
      </w:r>
      <w:bookmarkStart w:id="0" w:name="_GoBack"/>
      <w:bookmarkEnd w:id="0"/>
      <w:r>
        <w:rPr>
          <w:rFonts w:hint="eastAsia" w:ascii="Times New Roman" w:hAnsi="Times New Roman" w:eastAsia="仿宋_GB2312" w:cs="Times New Roman"/>
          <w:i w:val="0"/>
          <w:kern w:val="2"/>
          <w:sz w:val="32"/>
          <w:szCs w:val="32"/>
          <w:lang w:val="en-US" w:eastAsia="zh-CN" w:bidi="ar-SA"/>
        </w:rPr>
        <w:t>工作摆在重要位置予以推进，健全局机关政务公开工作网络，由办公室具体负责，其他科室配合，形成“各负其责、齐抓共管”的良好工作格局。局主要领导高度重视，定期听取信息公开工作情况汇报，</w:t>
      </w:r>
      <w:r>
        <w:rPr>
          <w:rFonts w:hint="eastAsia" w:ascii="Times New Roman" w:hAnsi="Times New Roman" w:cs="Times New Roman"/>
          <w:i w:val="0"/>
          <w:kern w:val="2"/>
          <w:sz w:val="32"/>
          <w:szCs w:val="32"/>
          <w:lang w:val="en-US" w:eastAsia="zh-CN" w:bidi="ar-SA"/>
        </w:rPr>
        <w:t>针对政务公开工作作出具体研究部署，狠抓工作落实，切实加强对政务公开工作的领导和保障</w:t>
      </w:r>
      <w:r>
        <w:rPr>
          <w:rFonts w:hint="eastAsia" w:ascii="Times New Roman" w:hAnsi="Times New Roman" w:eastAsia="仿宋_GB2312" w:cs="Times New Roman"/>
          <w:i w:val="0"/>
          <w:kern w:val="2"/>
          <w:sz w:val="32"/>
          <w:szCs w:val="32"/>
          <w:lang w:val="en-US" w:eastAsia="zh-CN" w:bidi="ar-SA"/>
        </w:rPr>
        <w:t>。</w:t>
      </w:r>
      <w:r>
        <w:rPr>
          <w:rFonts w:hint="eastAsia" w:ascii="Times New Roman" w:hAnsi="Times New Roman" w:eastAsia="仿宋_GB2312" w:cs="Times New Roman"/>
          <w:i w:val="0"/>
          <w:color w:val="auto"/>
          <w:kern w:val="2"/>
          <w:sz w:val="32"/>
          <w:szCs w:val="32"/>
          <w:lang w:val="en-US" w:eastAsia="zh-CN" w:bidi="ar-SA"/>
        </w:rPr>
        <w:t>本单位接受各单位和群众对本单位全年政府信息公开工作的社会监督、社会评议。2023年度镇海区机关事务管理局未发生政务公开责任追究情况。</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kern w:val="2"/>
          <w:sz w:val="32"/>
          <w:szCs w:val="32"/>
          <w:lang w:val="en-US" w:eastAsia="zh-CN" w:bidi="ar-SA"/>
        </w:rPr>
      </w:pPr>
      <w:r>
        <w:rPr>
          <w:rFonts w:hint="eastAsia" w:ascii="Times New Roman" w:hAnsi="Times New Roman" w:eastAsia="仿宋_GB2312" w:cs="Times New Roman"/>
          <w:i w:val="0"/>
          <w:kern w:val="2"/>
          <w:sz w:val="32"/>
          <w:szCs w:val="32"/>
          <w:lang w:val="en-US" w:eastAsia="zh-CN" w:bidi="ar-SA"/>
        </w:rPr>
        <w:t>二、主动公开政府信息情况</w:t>
      </w:r>
    </w:p>
    <w:tbl>
      <w:tblPr>
        <w:tblStyle w:val="7"/>
        <w:tblpPr w:leftFromText="180" w:rightFromText="180" w:vertAnchor="text" w:horzAnchor="page" w:tblpXSpec="center" w:tblpY="85"/>
        <w:tblOverlap w:val="never"/>
        <w:tblW w:w="9280" w:type="dxa"/>
        <w:tblInd w:w="0" w:type="dxa"/>
        <w:tblLayout w:type="fixed"/>
        <w:tblCellMar>
          <w:top w:w="0" w:type="dxa"/>
          <w:left w:w="0" w:type="dxa"/>
          <w:bottom w:w="0" w:type="dxa"/>
          <w:right w:w="0" w:type="dxa"/>
        </w:tblCellMar>
      </w:tblPr>
      <w:tblGrid>
        <w:gridCol w:w="1966"/>
        <w:gridCol w:w="2450"/>
        <w:gridCol w:w="2450"/>
        <w:gridCol w:w="2414"/>
      </w:tblGrid>
      <w:tr>
        <w:tblPrEx>
          <w:tblCellMar>
            <w:top w:w="0" w:type="dxa"/>
            <w:left w:w="0" w:type="dxa"/>
            <w:bottom w:w="0" w:type="dxa"/>
            <w:right w:w="0" w:type="dxa"/>
          </w:tblCellMar>
        </w:tblPrEx>
        <w:trPr>
          <w:trHeight w:val="456" w:hRule="atLeast"/>
        </w:trPr>
        <w:tc>
          <w:tcPr>
            <w:tcW w:w="928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第二十条第（一）项</w:t>
            </w:r>
          </w:p>
        </w:tc>
      </w:tr>
      <w:tr>
        <w:tblPrEx>
          <w:tblCellMar>
            <w:top w:w="0" w:type="dxa"/>
            <w:left w:w="0" w:type="dxa"/>
            <w:bottom w:w="0" w:type="dxa"/>
            <w:right w:w="0" w:type="dxa"/>
          </w:tblCellMar>
        </w:tblPrEx>
        <w:trPr>
          <w:trHeight w:val="456"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2450"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本年制发件数</w:t>
            </w:r>
          </w:p>
        </w:tc>
        <w:tc>
          <w:tcPr>
            <w:tcW w:w="2450"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本年废止件数</w:t>
            </w:r>
          </w:p>
        </w:tc>
        <w:tc>
          <w:tcPr>
            <w:tcW w:w="2414"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现行有效件数</w:t>
            </w:r>
          </w:p>
        </w:tc>
      </w:tr>
      <w:tr>
        <w:tblPrEx>
          <w:tblCellMar>
            <w:top w:w="0" w:type="dxa"/>
            <w:left w:w="0" w:type="dxa"/>
            <w:bottom w:w="0" w:type="dxa"/>
            <w:right w:w="0" w:type="dxa"/>
          </w:tblCellMar>
        </w:tblPrEx>
        <w:trPr>
          <w:trHeight w:val="456"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规章</w:t>
            </w:r>
          </w:p>
        </w:tc>
        <w:tc>
          <w:tcPr>
            <w:tcW w:w="2450"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　</w:t>
            </w:r>
            <w:r>
              <w:rPr>
                <w:rFonts w:hint="eastAsia"/>
                <w:kern w:val="0"/>
                <w:sz w:val="21"/>
                <w:szCs w:val="21"/>
                <w:lang w:val="en-US" w:eastAsia="zh-CN"/>
              </w:rPr>
              <w:t>0</w:t>
            </w:r>
            <w:r>
              <w:rPr>
                <w:rFonts w:hint="eastAsia"/>
                <w:kern w:val="0"/>
                <w:sz w:val="21"/>
                <w:szCs w:val="21"/>
              </w:rPr>
              <w:t>　</w:t>
            </w:r>
          </w:p>
        </w:tc>
        <w:tc>
          <w:tcPr>
            <w:tcW w:w="2450"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2414"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r>
      <w:tr>
        <w:tblPrEx>
          <w:tblCellMar>
            <w:top w:w="0" w:type="dxa"/>
            <w:left w:w="0" w:type="dxa"/>
            <w:bottom w:w="0" w:type="dxa"/>
            <w:right w:w="0" w:type="dxa"/>
          </w:tblCellMar>
        </w:tblPrEx>
        <w:trPr>
          <w:trHeight w:val="456"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行政规范性文件</w:t>
            </w:r>
          </w:p>
        </w:tc>
        <w:tc>
          <w:tcPr>
            <w:tcW w:w="2450"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　</w:t>
            </w:r>
            <w:r>
              <w:rPr>
                <w:rFonts w:hint="eastAsia"/>
                <w:kern w:val="0"/>
                <w:sz w:val="21"/>
                <w:szCs w:val="21"/>
                <w:lang w:val="en-US" w:eastAsia="zh-CN"/>
              </w:rPr>
              <w:t>0</w:t>
            </w:r>
            <w:r>
              <w:rPr>
                <w:rFonts w:hint="eastAsia"/>
                <w:kern w:val="0"/>
                <w:sz w:val="21"/>
                <w:szCs w:val="21"/>
              </w:rPr>
              <w:t>　</w:t>
            </w:r>
          </w:p>
        </w:tc>
        <w:tc>
          <w:tcPr>
            <w:tcW w:w="2450"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default" w:eastAsiaTheme="minorEastAsia"/>
                <w:kern w:val="0"/>
                <w:sz w:val="21"/>
                <w:szCs w:val="21"/>
                <w:lang w:val="en-US" w:eastAsia="zh-CN"/>
              </w:rPr>
            </w:pPr>
            <w:r>
              <w:rPr>
                <w:rFonts w:hint="eastAsia"/>
                <w:kern w:val="0"/>
                <w:sz w:val="21"/>
                <w:szCs w:val="21"/>
                <w:lang w:val="en-US" w:eastAsia="zh-CN"/>
              </w:rPr>
              <w:t xml:space="preserve">  0</w:t>
            </w:r>
          </w:p>
        </w:tc>
        <w:tc>
          <w:tcPr>
            <w:tcW w:w="2414"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r>
      <w:tr>
        <w:tblPrEx>
          <w:tblCellMar>
            <w:top w:w="0" w:type="dxa"/>
            <w:left w:w="0" w:type="dxa"/>
            <w:bottom w:w="0" w:type="dxa"/>
            <w:right w:w="0" w:type="dxa"/>
          </w:tblCellMar>
        </w:tblPrEx>
        <w:trPr>
          <w:trHeight w:val="456" w:hRule="atLeast"/>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第二十条第（五）项</w:t>
            </w:r>
          </w:p>
        </w:tc>
      </w:tr>
      <w:tr>
        <w:tblPrEx>
          <w:tblCellMar>
            <w:top w:w="0" w:type="dxa"/>
            <w:left w:w="0" w:type="dxa"/>
            <w:bottom w:w="0" w:type="dxa"/>
            <w:right w:w="0" w:type="dxa"/>
          </w:tblCellMar>
        </w:tblPrEx>
        <w:trPr>
          <w:trHeight w:val="456"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314"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CellMar>
            <w:top w:w="0" w:type="dxa"/>
            <w:left w:w="0" w:type="dxa"/>
            <w:bottom w:w="0" w:type="dxa"/>
            <w:right w:w="0" w:type="dxa"/>
          </w:tblCellMar>
        </w:tblPrEx>
        <w:trPr>
          <w:trHeight w:val="456"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行政许可</w:t>
            </w:r>
          </w:p>
        </w:tc>
        <w:tc>
          <w:tcPr>
            <w:tcW w:w="7314"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r>
      <w:tr>
        <w:tblPrEx>
          <w:tblCellMar>
            <w:top w:w="0" w:type="dxa"/>
            <w:left w:w="0" w:type="dxa"/>
            <w:bottom w:w="0" w:type="dxa"/>
            <w:right w:w="0" w:type="dxa"/>
          </w:tblCellMar>
        </w:tblPrEx>
        <w:trPr>
          <w:trHeight w:val="456" w:hRule="atLeast"/>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第二十条第（六）项</w:t>
            </w:r>
          </w:p>
        </w:tc>
      </w:tr>
      <w:tr>
        <w:tblPrEx>
          <w:tblCellMar>
            <w:top w:w="0" w:type="dxa"/>
            <w:left w:w="0" w:type="dxa"/>
            <w:bottom w:w="0" w:type="dxa"/>
            <w:right w:w="0" w:type="dxa"/>
          </w:tblCellMar>
        </w:tblPrEx>
        <w:trPr>
          <w:trHeight w:val="456"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314"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CellMar>
            <w:top w:w="0" w:type="dxa"/>
            <w:left w:w="0" w:type="dxa"/>
            <w:bottom w:w="0" w:type="dxa"/>
            <w:right w:w="0" w:type="dxa"/>
          </w:tblCellMar>
        </w:tblPrEx>
        <w:trPr>
          <w:trHeight w:val="456"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行政处罚</w:t>
            </w:r>
          </w:p>
        </w:tc>
        <w:tc>
          <w:tcPr>
            <w:tcW w:w="7314"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CellMar>
            <w:top w:w="0" w:type="dxa"/>
            <w:left w:w="0" w:type="dxa"/>
            <w:bottom w:w="0" w:type="dxa"/>
            <w:right w:w="0" w:type="dxa"/>
          </w:tblCellMar>
        </w:tblPrEx>
        <w:trPr>
          <w:trHeight w:val="456"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行政强制</w:t>
            </w:r>
          </w:p>
        </w:tc>
        <w:tc>
          <w:tcPr>
            <w:tcW w:w="7314"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CellMar>
            <w:top w:w="0" w:type="dxa"/>
            <w:left w:w="0" w:type="dxa"/>
            <w:bottom w:w="0" w:type="dxa"/>
            <w:right w:w="0" w:type="dxa"/>
          </w:tblCellMar>
        </w:tblPrEx>
        <w:trPr>
          <w:trHeight w:val="456" w:hRule="atLeast"/>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第二十条第（八）项</w:t>
            </w:r>
          </w:p>
        </w:tc>
      </w:tr>
      <w:tr>
        <w:tblPrEx>
          <w:tblCellMar>
            <w:top w:w="0" w:type="dxa"/>
            <w:left w:w="0" w:type="dxa"/>
            <w:bottom w:w="0" w:type="dxa"/>
            <w:right w:w="0" w:type="dxa"/>
          </w:tblCellMar>
        </w:tblPrEx>
        <w:trPr>
          <w:trHeight w:val="456"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314"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本年收费金额（单位：万元）</w:t>
            </w:r>
          </w:p>
        </w:tc>
      </w:tr>
      <w:tr>
        <w:tblPrEx>
          <w:tblCellMar>
            <w:top w:w="0" w:type="dxa"/>
            <w:left w:w="0" w:type="dxa"/>
            <w:bottom w:w="0" w:type="dxa"/>
            <w:right w:w="0" w:type="dxa"/>
          </w:tblCellMar>
        </w:tblPrEx>
        <w:trPr>
          <w:trHeight w:val="455" w:hRule="atLeast"/>
        </w:trPr>
        <w:tc>
          <w:tcPr>
            <w:tcW w:w="1966"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行政事业性收费</w:t>
            </w:r>
          </w:p>
        </w:tc>
        <w:tc>
          <w:tcPr>
            <w:tcW w:w="7314"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Times New Roman"/>
          <w:kern w:val="0"/>
          <w:sz w:val="32"/>
          <w:szCs w:val="32"/>
          <w:lang w:val="en-US" w:eastAsia="zh-CN" w:bidi="ar-SA"/>
        </w:rPr>
      </w:pPr>
      <w:r>
        <w:rPr>
          <w:rFonts w:hint="eastAsia" w:ascii="黑体" w:hAnsi="黑体" w:eastAsia="黑体" w:cs="Times New Roman"/>
          <w:kern w:val="0"/>
          <w:sz w:val="32"/>
          <w:szCs w:val="32"/>
          <w:lang w:val="en-US" w:eastAsia="zh-CN" w:bidi="ar-SA"/>
        </w:rPr>
        <w:t>三、收到和处理政府信息公开申请情况</w:t>
      </w:r>
    </w:p>
    <w:tbl>
      <w:tblPr>
        <w:tblStyle w:val="7"/>
        <w:tblW w:w="928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4"/>
        <w:gridCol w:w="958"/>
        <w:gridCol w:w="2629"/>
        <w:gridCol w:w="642"/>
        <w:gridCol w:w="713"/>
        <w:gridCol w:w="714"/>
        <w:gridCol w:w="713"/>
        <w:gridCol w:w="714"/>
        <w:gridCol w:w="713"/>
        <w:gridCol w:w="7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4371" w:type="dxa"/>
            <w:gridSpan w:val="3"/>
            <w:vMerge w:val="restart"/>
            <w:noWrap w:val="0"/>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09"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4371"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67" w:type="dxa"/>
            <w:gridSpan w:val="5"/>
            <w:noWrap w:val="0"/>
            <w:tcMar>
              <w:left w:w="57" w:type="dxa"/>
              <w:right w:w="57" w:type="dxa"/>
            </w:tcMar>
            <w:vAlign w:val="center"/>
          </w:tcPr>
          <w:p>
            <w:pPr>
              <w:spacing w:line="240" w:lineRule="exact"/>
              <w:jc w:val="center"/>
              <w:rPr>
                <w:kern w:val="0"/>
                <w:sz w:val="21"/>
                <w:szCs w:val="21"/>
              </w:rPr>
            </w:pPr>
            <w:r>
              <w:rPr>
                <w:rFonts w:hint="eastAsia"/>
                <w:kern w:val="0"/>
                <w:sz w:val="21"/>
                <w:szCs w:val="21"/>
              </w:rPr>
              <w:t>法人或其他组织</w:t>
            </w:r>
          </w:p>
        </w:tc>
        <w:tc>
          <w:tcPr>
            <w:tcW w:w="700"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4" w:hRule="atLeast"/>
        </w:trPr>
        <w:tc>
          <w:tcPr>
            <w:tcW w:w="4371"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3"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3"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法律服务机构</w:t>
            </w:r>
          </w:p>
        </w:tc>
        <w:tc>
          <w:tcPr>
            <w:tcW w:w="713"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其他</w:t>
            </w:r>
          </w:p>
        </w:tc>
        <w:tc>
          <w:tcPr>
            <w:tcW w:w="700" w:type="dxa"/>
            <w:vMerge w:val="continue"/>
            <w:noWrap w:val="0"/>
            <w:tcMar>
              <w:left w:w="57" w:type="dxa"/>
              <w:right w:w="57"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4" w:hRule="exact"/>
        </w:trPr>
        <w:tc>
          <w:tcPr>
            <w:tcW w:w="4371"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4" w:hRule="exact"/>
        </w:trPr>
        <w:tc>
          <w:tcPr>
            <w:tcW w:w="4371"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noWrap w:val="0"/>
            <w:tcMar>
              <w:left w:w="57" w:type="dxa"/>
              <w:right w:w="57" w:type="dxa"/>
            </w:tcMar>
            <w:vAlign w:val="center"/>
          </w:tcPr>
          <w:p>
            <w:pPr>
              <w:spacing w:line="240" w:lineRule="exact"/>
              <w:jc w:val="center"/>
              <w:rPr>
                <w:rFonts w:hint="default"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7"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7"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2"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rFonts w:hint="eastAsia" w:eastAsiaTheme="minorEastAsia"/>
                <w:kern w:val="0"/>
                <w:sz w:val="21"/>
                <w:szCs w:val="21"/>
                <w:lang w:val="en-US" w:eastAsia="zh-CN"/>
              </w:rPr>
            </w:pPr>
            <w:r>
              <w:rPr>
                <w:rFonts w:hint="eastAsia"/>
                <w:kern w:val="0"/>
                <w:sz w:val="21"/>
                <w:szCs w:val="21"/>
              </w:rPr>
              <w:t>2.其他法律行政法规禁止公开</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jc w:val="both"/>
              <w:rPr>
                <w:kern w:val="0"/>
                <w:sz w:val="21"/>
                <w:szCs w:val="21"/>
              </w:rPr>
            </w:pPr>
            <w:r>
              <w:rPr>
                <w:rFonts w:hint="eastAsia"/>
                <w:kern w:val="0"/>
                <w:sz w:val="21"/>
                <w:szCs w:val="21"/>
              </w:rPr>
              <w:t>3.危及“三安全一稳定”</w:t>
            </w:r>
          </w:p>
        </w:tc>
        <w:tc>
          <w:tcPr>
            <w:tcW w:w="642"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13"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13"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13"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00"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2"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2"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noWrap w:val="0"/>
            <w:tcMar>
              <w:left w:w="57" w:type="dxa"/>
              <w:right w:w="57" w:type="dxa"/>
            </w:tcMar>
            <w:vAlign w:val="top"/>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4"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29" w:type="dxa"/>
            <w:noWrap w:val="0"/>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94"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8"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29" w:type="dxa"/>
            <w:noWrap w:val="0"/>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784"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7"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1" w:hRule="atLeast"/>
        </w:trPr>
        <w:tc>
          <w:tcPr>
            <w:tcW w:w="4371"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3" w:type="dxa"/>
            <w:noWrap w:val="0"/>
            <w:tcMar>
              <w:left w:w="57" w:type="dxa"/>
              <w:right w:w="57"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00" w:type="dxa"/>
            <w:noWrap w:val="0"/>
            <w:tcMar>
              <w:left w:w="57" w:type="dxa"/>
              <w:right w:w="57" w:type="dxa"/>
            </w:tcMar>
            <w:vAlign w:val="center"/>
          </w:tcPr>
          <w:p>
            <w:pPr>
              <w:spacing w:line="240" w:lineRule="exact"/>
              <w:jc w:val="center"/>
              <w:rPr>
                <w:rFonts w:hint="eastAsia"/>
                <w:kern w:val="0"/>
                <w:sz w:val="21"/>
                <w:szCs w:val="21"/>
              </w:rPr>
            </w:pPr>
            <w:r>
              <w:rPr>
                <w:kern w:val="0"/>
                <w:sz w:val="21"/>
                <w:szCs w:val="21"/>
              </w:rPr>
              <w:t> </w:t>
            </w:r>
            <w:r>
              <w:rPr>
                <w:rFonts w:hint="eastAsia"/>
                <w:kern w:val="0"/>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Times New Roman"/>
          <w:kern w:val="0"/>
          <w:sz w:val="32"/>
          <w:szCs w:val="32"/>
          <w:lang w:val="en-US" w:eastAsia="zh-CN" w:bidi="ar-SA"/>
        </w:rPr>
      </w:pPr>
      <w:r>
        <w:rPr>
          <w:rFonts w:hint="eastAsia" w:ascii="黑体" w:hAnsi="黑体" w:eastAsia="黑体" w:cs="Times New Roman"/>
          <w:kern w:val="0"/>
          <w:sz w:val="32"/>
          <w:szCs w:val="32"/>
          <w:lang w:val="en-US" w:eastAsia="zh-CN" w:bidi="ar-SA"/>
        </w:rPr>
        <w:t>四、政府信息公开行政复议、行政诉讼情况</w:t>
      </w:r>
    </w:p>
    <w:tbl>
      <w:tblPr>
        <w:tblStyle w:val="7"/>
        <w:tblW w:w="95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58"/>
        <w:gridCol w:w="658"/>
        <w:gridCol w:w="658"/>
        <w:gridCol w:w="644"/>
        <w:gridCol w:w="548"/>
        <w:gridCol w:w="658"/>
        <w:gridCol w:w="658"/>
        <w:gridCol w:w="659"/>
        <w:gridCol w:w="660"/>
        <w:gridCol w:w="584"/>
        <w:gridCol w:w="659"/>
        <w:gridCol w:w="659"/>
        <w:gridCol w:w="659"/>
        <w:gridCol w:w="659"/>
        <w:gridCol w:w="4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2" w:hRule="atLeast"/>
          <w:jc w:val="center"/>
        </w:trPr>
        <w:tc>
          <w:tcPr>
            <w:tcW w:w="3166"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334"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2" w:hRule="atLeast"/>
          <w:jc w:val="center"/>
        </w:trPr>
        <w:tc>
          <w:tcPr>
            <w:tcW w:w="65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5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8"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44"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8"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219"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1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2" w:hRule="atLeast"/>
          <w:jc w:val="center"/>
        </w:trPr>
        <w:tc>
          <w:tcPr>
            <w:tcW w:w="65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5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58"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8"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58"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8"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6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8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47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17" w:hRule="atLeast"/>
          <w:jc w:val="center"/>
        </w:trPr>
        <w:tc>
          <w:tcPr>
            <w:tcW w:w="658"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658"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8"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default"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44"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548"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8"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8"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6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584"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default"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5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47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i w:val="0"/>
          <w:kern w:val="2"/>
          <w:sz w:val="32"/>
          <w:szCs w:val="32"/>
          <w:lang w:val="en-US" w:eastAsia="zh-CN" w:bidi="ar-SA"/>
        </w:rPr>
      </w:pPr>
      <w:r>
        <w:rPr>
          <w:rFonts w:hint="eastAsia" w:ascii="黑体" w:hAnsi="黑体" w:eastAsia="黑体" w:cs="Times New Roman"/>
          <w:kern w:val="0"/>
          <w:sz w:val="32"/>
          <w:szCs w:val="32"/>
          <w:lang w:val="en-US" w:eastAsia="zh-CN" w:bidi="ar-SA"/>
        </w:rPr>
        <w:t>五、存在的主要问题及改进情况</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sz w:val="36"/>
          <w:szCs w:val="44"/>
          <w:lang w:val="en-US" w:eastAsia="zh-CN"/>
        </w:rPr>
      </w:pPr>
      <w:r>
        <w:rPr>
          <w:rFonts w:hint="eastAsia" w:ascii="Times New Roman" w:hAnsi="Times New Roman" w:eastAsia="仿宋_GB2312" w:cs="Times New Roman"/>
          <w:i w:val="0"/>
          <w:kern w:val="2"/>
          <w:sz w:val="32"/>
          <w:szCs w:val="32"/>
          <w:lang w:val="en-US" w:eastAsia="zh-CN" w:bidi="ar-SA"/>
        </w:rPr>
        <w:t>202</w:t>
      </w:r>
      <w:r>
        <w:rPr>
          <w:rFonts w:hint="eastAsia" w:ascii="Times New Roman" w:hAnsi="Times New Roman" w:cs="Times New Roman"/>
          <w:i w:val="0"/>
          <w:kern w:val="2"/>
          <w:sz w:val="32"/>
          <w:szCs w:val="32"/>
          <w:lang w:val="en-US" w:eastAsia="zh-CN" w:bidi="ar-SA"/>
        </w:rPr>
        <w:t>3</w:t>
      </w:r>
      <w:r>
        <w:rPr>
          <w:rFonts w:hint="eastAsia" w:ascii="Times New Roman" w:hAnsi="Times New Roman" w:eastAsia="仿宋_GB2312" w:cs="Times New Roman"/>
          <w:i w:val="0"/>
          <w:kern w:val="2"/>
          <w:sz w:val="32"/>
          <w:szCs w:val="32"/>
          <w:lang w:val="en-US" w:eastAsia="zh-CN" w:bidi="ar-SA"/>
        </w:rPr>
        <w:t>年，</w:t>
      </w:r>
      <w:r>
        <w:rPr>
          <w:rFonts w:hint="eastAsia" w:ascii="Times New Roman" w:hAnsi="Times New Roman" w:cs="Times New Roman"/>
          <w:i w:val="0"/>
          <w:kern w:val="2"/>
          <w:sz w:val="32"/>
          <w:szCs w:val="32"/>
          <w:lang w:val="en-US" w:eastAsia="zh-CN" w:bidi="ar-SA"/>
        </w:rPr>
        <w:t>区机关事务管理局政府信息公开工作井然有序，但对照新时代政务公开工作新要求和人民群众期盼，仍存在一些不足，主要表现为：一是部分干部职工对政府信息公开工作重要性认识不足，推动政务公开和政府公开的主动性不强；二</w:t>
      </w:r>
      <w:r>
        <w:rPr>
          <w:rFonts w:hint="eastAsia" w:ascii="Times New Roman" w:hAnsi="Times New Roman" w:eastAsia="仿宋_GB2312" w:cs="Times New Roman"/>
          <w:i w:val="0"/>
          <w:kern w:val="2"/>
          <w:sz w:val="32"/>
          <w:szCs w:val="32"/>
          <w:lang w:val="en-US" w:eastAsia="zh-CN" w:bidi="ar-SA"/>
        </w:rPr>
        <w:t>是</w:t>
      </w:r>
      <w:r>
        <w:rPr>
          <w:rFonts w:hint="eastAsia" w:ascii="Times New Roman" w:hAnsi="Times New Roman" w:cs="Times New Roman"/>
          <w:i w:val="0"/>
          <w:kern w:val="2"/>
          <w:sz w:val="32"/>
          <w:szCs w:val="32"/>
          <w:lang w:val="en-US" w:eastAsia="zh-CN" w:bidi="ar-SA"/>
        </w:rPr>
        <w:t>信息公开业务工作能力还需进一步提高，对政府信息公开的有关规定和要求的把握还不够全面</w:t>
      </w:r>
      <w:r>
        <w:rPr>
          <w:rFonts w:hint="eastAsia" w:ascii="Times New Roman" w:hAnsi="Times New Roman" w:eastAsia="仿宋_GB2312" w:cs="Times New Roman"/>
          <w:i w:val="0"/>
          <w:kern w:val="2"/>
          <w:sz w:val="32"/>
          <w:szCs w:val="32"/>
          <w:lang w:val="en-US" w:eastAsia="zh-CN" w:bidi="ar-SA"/>
        </w:rPr>
        <w:t>。针对上述问题，202</w:t>
      </w:r>
      <w:r>
        <w:rPr>
          <w:rFonts w:hint="eastAsia" w:ascii="Times New Roman" w:hAnsi="Times New Roman" w:cs="Times New Roman"/>
          <w:i w:val="0"/>
          <w:kern w:val="2"/>
          <w:sz w:val="32"/>
          <w:szCs w:val="32"/>
          <w:lang w:val="en-US" w:eastAsia="zh-CN" w:bidi="ar-SA"/>
        </w:rPr>
        <w:t>4</w:t>
      </w:r>
      <w:r>
        <w:rPr>
          <w:rFonts w:hint="eastAsia" w:ascii="Times New Roman" w:hAnsi="Times New Roman" w:eastAsia="仿宋_GB2312" w:cs="Times New Roman"/>
          <w:i w:val="0"/>
          <w:kern w:val="2"/>
          <w:sz w:val="32"/>
          <w:szCs w:val="32"/>
          <w:lang w:val="en-US" w:eastAsia="zh-CN" w:bidi="ar-SA"/>
        </w:rPr>
        <w:t>年</w:t>
      </w:r>
      <w:r>
        <w:rPr>
          <w:rFonts w:hint="eastAsia" w:ascii="Times New Roman" w:hAnsi="Times New Roman" w:cs="Times New Roman"/>
          <w:i w:val="0"/>
          <w:kern w:val="2"/>
          <w:sz w:val="32"/>
          <w:szCs w:val="32"/>
          <w:lang w:val="en-US" w:eastAsia="zh-CN" w:bidi="ar-SA"/>
        </w:rPr>
        <w:t>镇海</w:t>
      </w:r>
      <w:r>
        <w:rPr>
          <w:rFonts w:hint="eastAsia" w:ascii="Times New Roman" w:hAnsi="Times New Roman" w:eastAsia="仿宋_GB2312" w:cs="Times New Roman"/>
          <w:i w:val="0"/>
          <w:kern w:val="2"/>
          <w:sz w:val="32"/>
          <w:szCs w:val="32"/>
          <w:lang w:val="en-US" w:eastAsia="zh-CN" w:bidi="ar-SA"/>
        </w:rPr>
        <w:t>区</w:t>
      </w:r>
      <w:r>
        <w:rPr>
          <w:rFonts w:hint="eastAsia" w:ascii="Times New Roman" w:hAnsi="Times New Roman" w:cs="Times New Roman"/>
          <w:i w:val="0"/>
          <w:kern w:val="2"/>
          <w:sz w:val="32"/>
          <w:szCs w:val="32"/>
          <w:lang w:val="en-US" w:eastAsia="zh-CN" w:bidi="ar-SA"/>
        </w:rPr>
        <w:t>机关事务管理局</w:t>
      </w:r>
      <w:r>
        <w:rPr>
          <w:rFonts w:hint="eastAsia" w:ascii="Times New Roman" w:hAnsi="Times New Roman" w:eastAsia="仿宋_GB2312" w:cs="Times New Roman"/>
          <w:i w:val="0"/>
          <w:kern w:val="2"/>
          <w:sz w:val="32"/>
          <w:szCs w:val="32"/>
          <w:lang w:val="en-US" w:eastAsia="zh-CN" w:bidi="ar-SA"/>
        </w:rPr>
        <w:t>将</w:t>
      </w:r>
      <w:r>
        <w:rPr>
          <w:rFonts w:hint="eastAsia" w:ascii="Times New Roman" w:hAnsi="Times New Roman" w:cs="Times New Roman"/>
          <w:i w:val="0"/>
          <w:kern w:val="2"/>
          <w:sz w:val="32"/>
          <w:szCs w:val="32"/>
          <w:lang w:val="en-US" w:eastAsia="zh-CN" w:bidi="ar-SA"/>
        </w:rPr>
        <w:t>积极参加信息公开业务培训，加强对政府信息公开和相关政策的学习，切实提高政务公开工作的业务能力，强化全局干部职工对政务信息公开的紧迫感和责任感，更好服务机关事务工作高质量发展</w:t>
      </w:r>
      <w:r>
        <w:rPr>
          <w:rFonts w:hint="eastAsia" w:ascii="Times New Roman" w:hAnsi="Times New Roman" w:eastAsia="仿宋_GB2312" w:cs="Times New Roman"/>
          <w:i w:val="0"/>
          <w:kern w:val="2"/>
          <w:sz w:val="32"/>
          <w:szCs w:val="32"/>
          <w:lang w:val="en-US" w:eastAsia="zh-CN" w:bidi="ar-SA"/>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i w:val="0"/>
          <w:kern w:val="0"/>
          <w:sz w:val="32"/>
          <w:szCs w:val="32"/>
          <w:lang w:val="en-US" w:eastAsia="zh-CN" w:bidi="ar-SA"/>
        </w:rPr>
      </w:pPr>
      <w:r>
        <w:rPr>
          <w:rFonts w:hint="eastAsia" w:ascii="黑体" w:hAnsi="黑体" w:eastAsia="黑体" w:cs="Times New Roman"/>
          <w:i w:val="0"/>
          <w:kern w:val="0"/>
          <w:sz w:val="32"/>
          <w:szCs w:val="32"/>
          <w:lang w:val="en-US" w:eastAsia="zh-CN" w:bidi="ar-SA"/>
        </w:rPr>
        <w:t>六、其他需要报告的事项</w:t>
      </w:r>
    </w:p>
    <w:p>
      <w:pPr>
        <w:pStyle w:val="5"/>
        <w:spacing w:line="560" w:lineRule="exact"/>
        <w:ind w:firstLine="640" w:firstLineChars="200"/>
        <w:jc w:val="both"/>
        <w:rPr>
          <w:rFonts w:hint="default" w:ascii="Times New Roman" w:hAnsi="Times New Roman" w:eastAsia="仿宋_GB2312" w:cs="Times New Roman"/>
          <w:i w:val="0"/>
          <w:kern w:val="2"/>
          <w:sz w:val="32"/>
          <w:szCs w:val="32"/>
          <w:lang w:val="en-US" w:eastAsia="zh-CN" w:bidi="ar-SA"/>
        </w:rPr>
      </w:pPr>
      <w:r>
        <w:rPr>
          <w:rFonts w:hint="eastAsia" w:ascii="Times New Roman" w:hAnsi="Times New Roman" w:eastAsia="仿宋_GB2312" w:cs="Times New Roman"/>
          <w:i w:val="0"/>
          <w:kern w:val="2"/>
          <w:sz w:val="32"/>
          <w:szCs w:val="32"/>
          <w:lang w:val="en-US" w:eastAsia="zh-CN" w:bidi="ar-SA"/>
        </w:rPr>
        <w:t>本机关2023年度未发出依申请公开缴款通知书，也未对申请人收取信息处理费，特此说明。</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i w:val="0"/>
          <w:kern w:val="2"/>
          <w:sz w:val="32"/>
          <w:szCs w:val="32"/>
          <w:lang w:val="en-US" w:eastAsia="zh-CN" w:bidi="ar-SA"/>
        </w:rPr>
      </w:pPr>
    </w:p>
    <w:p>
      <w:pPr>
        <w:pStyle w:val="6"/>
        <w:keepNext w:val="0"/>
        <w:keepLines w:val="0"/>
        <w:pageBreakBefore w:val="0"/>
        <w:kinsoku/>
        <w:wordWrap w:val="0"/>
        <w:overflowPunct/>
        <w:topLinePunct w:val="0"/>
        <w:autoSpaceDE/>
        <w:autoSpaceDN/>
        <w:bidi w:val="0"/>
        <w:adjustRightInd/>
        <w:snapToGrid/>
        <w:spacing w:line="560" w:lineRule="exact"/>
        <w:jc w:val="right"/>
        <w:textAlignment w:val="auto"/>
        <w:rPr>
          <w:rFonts w:hint="default" w:ascii="Times New Roman" w:hAnsi="Times New Roman" w:cs="Times New Roman"/>
          <w:i w:val="0"/>
          <w:kern w:val="2"/>
          <w:sz w:val="32"/>
          <w:szCs w:val="32"/>
          <w:lang w:val="en-US" w:eastAsia="zh-CN" w:bidi="ar-SA"/>
        </w:rPr>
      </w:pPr>
      <w:r>
        <w:rPr>
          <w:rFonts w:hint="eastAsia" w:ascii="Times New Roman" w:hAnsi="Times New Roman" w:cs="Times New Roman"/>
          <w:i w:val="0"/>
          <w:kern w:val="2"/>
          <w:sz w:val="32"/>
          <w:szCs w:val="32"/>
          <w:lang w:val="en-US" w:eastAsia="zh-CN" w:bidi="ar-SA"/>
        </w:rPr>
        <w:t xml:space="preserve">  </w:t>
      </w: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OTVhOGE5Nzk1ZGVkMDZiMTM0MTIyOTA1OGU4OTIifQ=="/>
  </w:docVars>
  <w:rsids>
    <w:rsidRoot w:val="00000000"/>
    <w:rsid w:val="02391666"/>
    <w:rsid w:val="04106FF1"/>
    <w:rsid w:val="04280136"/>
    <w:rsid w:val="08F21AA0"/>
    <w:rsid w:val="094C6A4E"/>
    <w:rsid w:val="0D850D71"/>
    <w:rsid w:val="12B80EA6"/>
    <w:rsid w:val="13865E77"/>
    <w:rsid w:val="13F063FC"/>
    <w:rsid w:val="14522F9C"/>
    <w:rsid w:val="15B346D0"/>
    <w:rsid w:val="168F7EC7"/>
    <w:rsid w:val="193B404B"/>
    <w:rsid w:val="197733B0"/>
    <w:rsid w:val="198A084A"/>
    <w:rsid w:val="1AFA4D2B"/>
    <w:rsid w:val="1B024F7C"/>
    <w:rsid w:val="1D730C42"/>
    <w:rsid w:val="1D762DF0"/>
    <w:rsid w:val="25121A51"/>
    <w:rsid w:val="26374A16"/>
    <w:rsid w:val="285223EF"/>
    <w:rsid w:val="2B59536A"/>
    <w:rsid w:val="2F03287C"/>
    <w:rsid w:val="327A2C6E"/>
    <w:rsid w:val="37C65937"/>
    <w:rsid w:val="38EC34FC"/>
    <w:rsid w:val="3BB40F93"/>
    <w:rsid w:val="42647B67"/>
    <w:rsid w:val="516A2782"/>
    <w:rsid w:val="54DD0EEB"/>
    <w:rsid w:val="56664DE1"/>
    <w:rsid w:val="59374561"/>
    <w:rsid w:val="5C1C1479"/>
    <w:rsid w:val="5CFD5107"/>
    <w:rsid w:val="5FCB4FA8"/>
    <w:rsid w:val="61146EE8"/>
    <w:rsid w:val="6B013542"/>
    <w:rsid w:val="71C82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link w:val="9"/>
    <w:semiHidden/>
    <w:qFormat/>
    <w:uiPriority w:val="0"/>
    <w:rPr>
      <w:rFonts w:ascii="Tahoma" w:hAnsi="Tahoma" w:eastAsia="仿宋_GB2312"/>
      <w:sz w:val="32"/>
      <w:szCs w:val="32"/>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pBdr>
        <w:bottom w:val="none" w:color="auto" w:sz="0" w:space="6"/>
      </w:pBdr>
      <w:shd w:val="clear" w:color="auto" w:fill="FFFFFF"/>
      <w:spacing w:line="560" w:lineRule="exact"/>
      <w:ind w:firstLine="720" w:firstLineChars="200"/>
      <w:jc w:val="left"/>
    </w:pPr>
    <w:rPr>
      <w:rFonts w:ascii="Times New Roman" w:hAnsi="Times New Roman" w:eastAsia="仿宋_GB2312" w:cs="仿宋_GB2312"/>
      <w:bCs/>
      <w:color w:val="000000"/>
      <w:sz w:val="32"/>
      <w:szCs w:val="32"/>
    </w:rPr>
  </w:style>
  <w:style w:type="paragraph" w:styleId="3">
    <w:name w:val="Body Text First Indent"/>
    <w:basedOn w:val="2"/>
    <w:autoRedefine/>
    <w:unhideWhenUsed/>
    <w:qFormat/>
    <w:uiPriority w:val="99"/>
    <w:pPr>
      <w:widowControl w:val="0"/>
      <w:pBdr>
        <w:bottom w:val="none" w:color="auto" w:sz="0" w:space="0"/>
      </w:pBdr>
      <w:shd w:val="clear" w:color="auto" w:fill="auto"/>
      <w:spacing w:after="120" w:line="240" w:lineRule="auto"/>
      <w:ind w:firstLine="420" w:firstLineChars="100"/>
      <w:jc w:val="both"/>
    </w:pPr>
    <w:rPr>
      <w:rFonts w:ascii="Calibri" w:hAnsi="Calibri" w:eastAsia="宋体" w:cs="Times New Roman"/>
      <w:bCs w:val="0"/>
      <w:color w:val="auto"/>
      <w:sz w:val="21"/>
      <w:szCs w:val="22"/>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Normal (Web)"/>
    <w:basedOn w:val="1"/>
    <w:autoRedefine/>
    <w:semiHidden/>
    <w:qFormat/>
    <w:uiPriority w:val="0"/>
    <w:pPr>
      <w:jc w:val="left"/>
    </w:pPr>
    <w:rPr>
      <w:kern w:val="0"/>
    </w:rPr>
  </w:style>
  <w:style w:type="paragraph" w:styleId="6">
    <w:name w:val="Body Text First Indent 2"/>
    <w:autoRedefine/>
    <w:unhideWhenUsed/>
    <w:qFormat/>
    <w:uiPriority w:val="99"/>
    <w:pPr>
      <w:spacing w:after="0" w:line="300" w:lineRule="auto"/>
      <w:ind w:left="0" w:leftChars="0"/>
      <w:jc w:val="both"/>
    </w:pPr>
    <w:rPr>
      <w:rFonts w:hint="default" w:ascii="Calibri" w:hAnsi="Calibri" w:eastAsia="仿宋_GB2312" w:cs="Times New Roman"/>
      <w:i/>
      <w:kern w:val="2"/>
      <w:sz w:val="21"/>
      <w:szCs w:val="32"/>
      <w:lang w:val="en-US" w:eastAsia="zh-CN" w:bidi="ar-SA"/>
    </w:rPr>
  </w:style>
  <w:style w:type="paragraph" w:customStyle="1" w:styleId="9">
    <w:name w:val="Char Char Char Char Char Char Char"/>
    <w:basedOn w:val="1"/>
    <w:link w:val="8"/>
    <w:autoRedefine/>
    <w:qFormat/>
    <w:uiPriority w:val="0"/>
    <w:pPr>
      <w:widowControl w:val="0"/>
    </w:pPr>
    <w:rPr>
      <w:rFonts w:ascii="Tahoma" w:hAnsi="Tahoma" w:eastAsia="仿宋_GB2312"/>
      <w:sz w:val="32"/>
      <w:szCs w:val="32"/>
    </w:rPr>
  </w:style>
  <w:style w:type="character" w:styleId="10">
    <w:name w:val="page number"/>
    <w:basedOn w:val="8"/>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2022-12-30T05:46:00Z</dcterms:created>
  <dc:creator>admin</dc:creator>
  <cp:lastModifiedBy>流畅️</cp:lastModifiedBy>
  <cp:lastPrinted>2023-12-27T07:26:00Z</cp:lastPrinted>
  <dcterms:modified xsi:type="dcterms:W3CDTF">2024-04-09T06:45:44Z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133D4E8EADA84032B3C5303E9C6B9105_12</vt:lpwstr>
  </property>
</Properties>
</file>