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黑体" w:cs="Times New Roman"/>
          <w:sz w:val="32"/>
          <w:szCs w:val="32"/>
        </w:rPr>
      </w:pPr>
      <w:r>
        <w:rPr>
          <w:rFonts w:hint="eastAsia" w:ascii="黑体" w:hAnsi="黑体" w:eastAsia="黑体" w:cs="Times New Roman"/>
          <w:sz w:val="32"/>
          <w:szCs w:val="32"/>
        </w:rPr>
        <w:t>附件2</w:t>
      </w:r>
    </w:p>
    <w:p>
      <w:pPr>
        <w:spacing w:line="440" w:lineRule="exact"/>
        <w:jc w:val="center"/>
        <w:rPr>
          <w:rFonts w:ascii="方正小标宋简体" w:hAnsi="方正小标宋简体" w:eastAsia="方正小标宋简体" w:cs="方正小标宋简体"/>
          <w:bCs/>
          <w:sz w:val="36"/>
          <w:szCs w:val="36"/>
        </w:rPr>
      </w:pPr>
      <w:bookmarkStart w:id="0" w:name="_GoBack"/>
      <w:r>
        <w:rPr>
          <w:rFonts w:hint="eastAsia" w:ascii="方正小标宋简体" w:hAnsi="方正小标宋简体" w:eastAsia="方正小标宋简体" w:cs="方正小标宋简体"/>
          <w:bCs/>
          <w:sz w:val="36"/>
          <w:szCs w:val="36"/>
        </w:rPr>
        <w:t>全国未成年人思想道德建设工作测评体系责任分解</w:t>
      </w:r>
    </w:p>
    <w:bookmarkEnd w:id="0"/>
    <w:p>
      <w:pPr>
        <w:pStyle w:val="2"/>
        <w:spacing w:after="160"/>
        <w:ind w:firstLine="0" w:firstLineChars="0"/>
        <w:jc w:val="center"/>
      </w:pPr>
      <w:r>
        <w:rPr>
          <w:rFonts w:hint="eastAsia" w:ascii="楷体_GB2312" w:hAnsi="楷体_GB2312" w:eastAsia="楷体_GB2312" w:cs="楷体_GB2312"/>
          <w:b/>
          <w:bCs/>
          <w:sz w:val="32"/>
          <w:szCs w:val="32"/>
        </w:rPr>
        <w:t>未成年人思想道德建设工作测评台账资料内容</w:t>
      </w:r>
    </w:p>
    <w:tbl>
      <w:tblPr>
        <w:tblStyle w:val="6"/>
        <w:tblW w:w="14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8"/>
        <w:gridCol w:w="2385"/>
        <w:gridCol w:w="4260"/>
        <w:gridCol w:w="4530"/>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tblHeader/>
          <w:jc w:val="center"/>
        </w:trPr>
        <w:tc>
          <w:tcPr>
            <w:tcW w:w="1288" w:type="dxa"/>
            <w:vAlign w:val="center"/>
          </w:tcPr>
          <w:p>
            <w:pPr>
              <w:spacing w:line="320" w:lineRule="exact"/>
              <w:jc w:val="center"/>
              <w:rPr>
                <w:rFonts w:ascii="黑体" w:hAnsi="黑体" w:eastAsia="黑体" w:cs="黑体"/>
                <w:sz w:val="24"/>
              </w:rPr>
            </w:pPr>
            <w:r>
              <w:rPr>
                <w:rFonts w:hint="eastAsia" w:ascii="黑体" w:hAnsi="黑体" w:eastAsia="黑体" w:cs="黑体"/>
                <w:sz w:val="24"/>
              </w:rPr>
              <w:t>测评项目</w:t>
            </w:r>
          </w:p>
        </w:tc>
        <w:tc>
          <w:tcPr>
            <w:tcW w:w="2385" w:type="dxa"/>
            <w:vAlign w:val="center"/>
          </w:tcPr>
          <w:p>
            <w:pPr>
              <w:spacing w:line="320" w:lineRule="exact"/>
              <w:jc w:val="center"/>
              <w:rPr>
                <w:rFonts w:ascii="黑体" w:hAnsi="黑体" w:eastAsia="黑体" w:cs="黑体"/>
                <w:sz w:val="24"/>
              </w:rPr>
            </w:pPr>
            <w:r>
              <w:rPr>
                <w:rFonts w:hint="eastAsia" w:ascii="黑体" w:hAnsi="黑体" w:eastAsia="黑体" w:cs="黑体"/>
                <w:sz w:val="24"/>
              </w:rPr>
              <w:t>测评标准</w:t>
            </w:r>
          </w:p>
        </w:tc>
        <w:tc>
          <w:tcPr>
            <w:tcW w:w="4260" w:type="dxa"/>
            <w:vAlign w:val="center"/>
          </w:tcPr>
          <w:p>
            <w:pPr>
              <w:spacing w:line="320" w:lineRule="exact"/>
              <w:jc w:val="center"/>
              <w:rPr>
                <w:rFonts w:ascii="黑体" w:hAnsi="黑体" w:eastAsia="黑体" w:cs="黑体"/>
                <w:sz w:val="24"/>
              </w:rPr>
            </w:pPr>
            <w:r>
              <w:rPr>
                <w:rFonts w:hint="eastAsia" w:ascii="黑体" w:hAnsi="黑体" w:eastAsia="黑体" w:cs="黑体"/>
                <w:sz w:val="24"/>
              </w:rPr>
              <w:t>具体要求</w:t>
            </w:r>
          </w:p>
        </w:tc>
        <w:tc>
          <w:tcPr>
            <w:tcW w:w="4530" w:type="dxa"/>
            <w:vAlign w:val="center"/>
          </w:tcPr>
          <w:p>
            <w:pPr>
              <w:spacing w:line="320" w:lineRule="exact"/>
              <w:jc w:val="center"/>
              <w:rPr>
                <w:rFonts w:ascii="黑体" w:hAnsi="黑体" w:eastAsia="黑体" w:cs="黑体"/>
                <w:sz w:val="24"/>
              </w:rPr>
            </w:pPr>
            <w:r>
              <w:rPr>
                <w:rFonts w:hint="eastAsia" w:ascii="黑体" w:hAnsi="黑体" w:eastAsia="黑体" w:cs="黑体"/>
                <w:sz w:val="24"/>
              </w:rPr>
              <w:t>报送内容</w:t>
            </w:r>
          </w:p>
        </w:tc>
        <w:tc>
          <w:tcPr>
            <w:tcW w:w="1801" w:type="dxa"/>
            <w:vAlign w:val="center"/>
          </w:tcPr>
          <w:p>
            <w:pPr>
              <w:spacing w:line="320" w:lineRule="exact"/>
              <w:jc w:val="center"/>
              <w:rPr>
                <w:rFonts w:ascii="黑体" w:hAnsi="黑体" w:eastAsia="黑体" w:cs="黑体"/>
                <w:sz w:val="24"/>
              </w:rPr>
            </w:pPr>
            <w:r>
              <w:rPr>
                <w:rFonts w:hint="eastAsia" w:ascii="黑体" w:hAnsi="黑体" w:eastAsia="黑体" w:cs="黑体"/>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jc w:val="center"/>
        </w:trPr>
        <w:tc>
          <w:tcPr>
            <w:tcW w:w="1288"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1.领导体制和工作机制</w:t>
            </w: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2）积极发挥社区在未成年人思想道德建设中的作用，构建家庭学校社会协同育人体系。</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上传说明本市（区）发挥社区作用，构建家庭学校社会协同育人体系的材料（说明报告）。</w:t>
            </w:r>
          </w:p>
        </w:tc>
        <w:tc>
          <w:tcPr>
            <w:tcW w:w="4530" w:type="dxa"/>
            <w:vAlign w:val="center"/>
          </w:tcPr>
          <w:p>
            <w:pPr>
              <w:spacing w:line="280" w:lineRule="exact"/>
              <w:ind w:left="42" w:leftChars="20" w:right="42" w:rightChars="20"/>
              <w:jc w:val="left"/>
              <w:rPr>
                <w:rFonts w:ascii="仿宋" w:hAnsi="仿宋" w:eastAsia="仿宋" w:cs="仿宋"/>
                <w:sz w:val="18"/>
                <w:szCs w:val="18"/>
              </w:rPr>
            </w:pPr>
            <w:r>
              <w:rPr>
                <w:rFonts w:hint="eastAsia" w:ascii="仿宋" w:hAnsi="仿宋" w:eastAsia="仿宋" w:cs="仿宋"/>
                <w:kern w:val="0"/>
                <w:sz w:val="18"/>
                <w:szCs w:val="18"/>
              </w:rPr>
              <w:t>上传本市（区）发挥社区作用，建立健全学校、家庭、社会“三结合”教育网络的材料（说明报告）。</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2"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3）本市（区）教育、民政、文旅、体育、团委、妇联、科协、残联、关工委等部门有常态化工作品牌或经验。</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①上传说明本市（区）教育、民政、文旅、体育、团委、妇联、科协、残联、关工委等部门在加强和改进未成年人思想道德建设工作方面创造的典型经验、成功做法的材料（说明报告，每部门1个）。</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上传说明本市（区）教育、民政、文旅、体育、团委、妇联、科协、残联、关工委等部门经验、做法的材料（说明报告，每部门1个）。</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2"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②上传报刊、电视、网络等媒体对本市（区）教育、民政、文旅、体育、团委、妇联、科协、残联、关工委等部门的工作品牌或经验所作宣传报道的图片（每个部门经验上传1种媒体报道的图片即可，总数9张）。</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报刊、电视、网络等媒体对本市（区）教育、民政、文旅、体育、团委、妇联、科协、残联、关工委等部门的工作品牌或经验所作宣传报道的图片（每个部门经验上传1种媒体报道的图片或截图即可，图片总量9张）。</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4）本市（区）范围内每年有1至2次未成年人思想道德建设工作检查考评。</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①上传本市（区）实施未成年人思想道德建设工作检查考评的工作安排（规范文件），如方案或通知等。</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上传本市（区）实施未成年人思想道德建设工作检查考评的工作安排（规范文件）。</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②上传本市（区）开展未成年人思想道德建设工作检查考评情况的材料（说明报告），包括时间、内容及结果等情况。</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上传说明本市（区）开展未成年人思想道德建设工作检查考评情况的材料（说明报告）。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5" w:hRule="atLeast"/>
          <w:jc w:val="center"/>
        </w:trPr>
        <w:tc>
          <w:tcPr>
            <w:tcW w:w="1288"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2.思想道德教育实践活动</w:t>
            </w: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2）广泛开展“扣好人生第一粒扣子”主题教育实践活动。</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上传反映开展“扣好人生第一粒扣子”活动的情况（说明报告）和图片（每个活动1张，总数5张，图片类型不限）。</w:t>
            </w:r>
          </w:p>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 xml:space="preserve">    注：上述标准涉及到优秀传统文化传承的有关安排和活动情况简要概括即可。</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上传反映开展“扣好人生第一粒扣子”活动情况的说明材料（说明报告）和相关实景图片（每个活动1张，共6张）。</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7"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3）深入开展“童心向党”教育实践活动。</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上传本市（区）围绕庆祝建党100周年，深入开展“童心向党”教育实践活动，引导青少年听党话、感党恩、跟党走的情况（说明报告）和图片（总数12张，现场照片、样报图片、电视截屏、网络截图各3张）。</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上传本市（区）围绕庆祝建党100周年，深入开展“童心向党”教育实践活动，引导青少年听党话、感党恩、跟党走的情况（说明报告）和图片（总数12张，现场照片、样报图片、电视截屏、网络截图各3张）。</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4）组织开展“新时代好少年”等未成年人先进典型学习宣传活动。</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①上传各学校开展“新时代好少年”学习宣传活动的情况（说明报告），本市（区）中小学校参与率达到100%。</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上传各学校开展“新时代好少年”学习宣传活动的情况（说明报告）。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②上传本市（区）推选发布宣传“新时代好少年”的情况（说明报告）和图片（总数4张，现场照片、样报图片、电视截屏、网络截图各1张）。</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上传本市（区）推选发布宣传“新时代好少年”的情况（市级媒体报道）和实景图片（2张,反映发布会现场或电视宣传情况）。</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5）加强未成年人中华优秀传统文化教育，持续开展经典诵读和戏曲、书法、传统体育等进校园活动。</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上传本市（区）中小学校加强中华优秀传统文化教育，开展经典诵读和戏曲、书法、传统体育等进校园活动的情况（说明报告）和图片（每个活动1张，总数4张，图片类型不限）。</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上传中小学校加强中华优秀传统文化教育，开展经典诵读和戏曲、书法、传统体育等进校园活动的情况（说明报告）和实景图片（4张，每种活动1张）。</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6）广泛开展学雷锋志愿服务活动，参与新时代文明实践中心建设。</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上传本市（区）组织未成年人参与学校、社区和公共文化设施等各类志愿服务活动，以及参与新时代文明实践中心建设的情况（说明报告）和图片（每种活动场所2张，总数8张，图片类型不限）。</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上传本市（区）组织未成年人参与学校、社区和公共文化设施等各类志愿服务活动的情况（说明报告）和实景图片（6张，每种活动场所各2张）。</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7）创新开展有特色、效果好的主题道德教育实践活动。</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上传本市（区）结合当地实际，创新开展内容鲜活、形式新颖、吸引力强的道德实践活动，寓思想道德教育于具体实践之中的情况（说明报告）和图片（总数3张，图片类型不限）。</w:t>
            </w:r>
          </w:p>
        </w:tc>
        <w:tc>
          <w:tcPr>
            <w:tcW w:w="453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上传本市（区）结合当地实际，创新开展内容鲜活、形式新颖、吸引力强的道德实践活动，寓思想道德教育于具体实践之中的情况（说明报告）和图片（总数3张，图片类型不限）。</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1288"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3.学校教育</w:t>
            </w: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1）培育和践行社会主义核心价值观进教材、进课堂、进头脑。</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上传本市（区）教育行政部门推动社会主义核心价值观进教材、进课堂、进头脑取得进展成效的材料（说明报告）。</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上传本市（区）教育行政部门推动社会主义核心价值观进教材、进课堂、进头脑取得进展成效的材料（说明报告）。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2）中小学思政课落实好、效果好，学校共青团、少先队组织健全、工作开展好。</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上传本市（区）中小学道德与法治课、思想政治课的安排、落实及取得成效情况，学校共青团、少先队组织建设和工作开展情况（说明报告，思政课和团队建设的情况各1份）。</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上传本市（区）中小学道德与法治课、思想政治课和共青团、少先队活动情况（说明报告）。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3）中小学校加强师德师风建设有具体方案、有实际效果。</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上传本市（区）加强师德师风建设、提高教师职业道德素养的进展和成效情况（说明报告）。</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上传本市（区）加强师德师风建设、提高教师职业道德素养的进展和成效情况（说明报告）。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4）落实国家义务教育要求有措施、有保障。</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①上传本市（区）落实国家义务教育要求的工作安排（规范文件），如方案或通知等。</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上传本市（区）落实国家义务教育要求的工作安排（规范文件）。</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5"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②提供本市（区）未成年人接受义务教育的情况（说明报告），包括保障进城务工人员子女平等接受义务教育和小学、初中控辍保学率等内容。</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上传本市（区）未成年人接受义务教育的情况（说明报告）。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2"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5）实施《国家学生体质健康标准》，落实体育课程和课时安排要求。</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①统计并计算本地实施《国家学生体质健康标准》测试并将数据上报国家数据库的学校比例，填写统计表格3—5）—1。</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填写统计表格3-5）-1 参加测试的学校比例</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②统计并计算本地参加《国家学生体质健康标准》测试的学生比例，填写统计表格3—5）—2。</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填写统计表格3-5）-2 参加测试的学生比例</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5"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③统计并计算本地测试结果达到《国家学生体质健康标准》合格的学生比例，填写统计表格3—5）—3。</w:t>
            </w:r>
          </w:p>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注：上述三项数据均为测评上一年度的城区中小学校（含中职学校）数据，由当地教育行政部门提供，教育部给予成绩认定。</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填写统计表格3-5）-3 合格学生的比例</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1288"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3.学校教育</w:t>
            </w: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6）中小学校开齐开足美育课程，有课时安排、有工作落实。</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①实施《中小学生艺术素质测评办法》，统计本地参与测评的学生比例及合格学生比例,填写统计表格3—6）—1。</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填写统计表格3-6）-1 参加测评学生和测评合格学生比例</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②实施《中小学校艺术教育工作自评办法》，统计本地按要求完成自评工作的学校比例,填写统计表格3—6）—2。</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填写统计表格3-6）-2  完成自评工作的学校比例</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③落实开齐开足美育课程要求，统计本地开齐开足美育课程的中小学校比例,填写统计表格3—6）—3。</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填写统计表格3-6）-3  开齐开足美育课程学校比例</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④实施《中小学校艺术教育发展年度报告办法》，提供本地中小学校艺术教育发展年度报告(说明报告)。</w:t>
            </w:r>
          </w:p>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注：上述三项数据和报告均为测评当年、城区中小学校（含中职学校）的情况，由当地教育行政部门提供，教育部给予成绩认定。</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上传本市（区）中小学校艺术教育发展年度报告（说明报告）。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7）中小学校开展劳动教育有课时安排、有劳动实践。</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上传本市（区）中小学校劳动教育课程安排和劳动实践的情况（说明报告）和图片（总数3张，图片类型不限）。</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上传本市（区）中小学校开展劳动教育课程安排和劳动实践的情况（说明报告）和实景图片3张。</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8）做好预防中小学生沉迷网络教育引导工作，引导学生绿色上网、文明上网。</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上传本市（区）做好预防中小学生沉迷网络教育引导工作，引导学生合理使用网络，防止网络沉迷和伤害，提升网络素养等方面的情况（说明报告）。</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上传本市（区）做好预防中小学生沉迷网络教育引导工作，打造清朗的校园网络文化等方面情况（说明报告）。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9）广泛开展文明校园创建活动，措施扎实，氛围浓厚，成效明显。</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①上传本市（区）文明委或文明办、教育行政部门关于开展文明校园创建活动的工作安排（规范文件），如方案或通知。</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上传本市（区）文明委或文明办、教育行政部门关于开展文明校园创建活动的工作安排（规范文件）。</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②上传本市（区）开展文明校园创建活动的情况（说明报告），创建文明校园的学校参与率达到100%。</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上传本市（区）开展文明校园创建活动的情况（说明报告）。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③上传本市（区）开展文明校园宣传的图片（样报图片、电视截屏、网络截图各3张，总数9张）。</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上传本市（区）开展文明校园宣传的图片（样报图片、电视截屏、网络截图各3张，总数9张）。</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288" w:type="dxa"/>
            <w:vMerge w:val="restart"/>
            <w:vAlign w:val="center"/>
          </w:tcPr>
          <w:p>
            <w:pPr>
              <w:widowControl/>
              <w:spacing w:line="280" w:lineRule="exact"/>
              <w:ind w:left="42" w:leftChars="20" w:right="42" w:rightChars="20"/>
              <w:textAlignment w:val="center"/>
              <w:rPr>
                <w:rFonts w:ascii="仿宋" w:hAnsi="仿宋" w:eastAsia="仿宋" w:cs="仿宋"/>
                <w:kern w:val="0"/>
                <w:sz w:val="18"/>
                <w:szCs w:val="18"/>
              </w:rPr>
            </w:pPr>
            <w:r>
              <w:rPr>
                <w:rFonts w:hint="eastAsia" w:ascii="仿宋" w:hAnsi="仿宋" w:eastAsia="仿宋" w:cs="仿宋"/>
                <w:kern w:val="0"/>
                <w:sz w:val="18"/>
                <w:szCs w:val="18"/>
              </w:rPr>
              <w:t>3.学校教育</w:t>
            </w: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④上传反映本市（区）以文明委或党委、政府名义评选各级文明校园,以及确定创建全国文明校园先进学校工作的情况（说明报告）。</w:t>
            </w:r>
          </w:p>
        </w:tc>
        <w:tc>
          <w:tcPr>
            <w:tcW w:w="4530" w:type="dxa"/>
            <w:vAlign w:val="center"/>
          </w:tcPr>
          <w:p>
            <w:pPr>
              <w:widowControl/>
              <w:spacing w:line="26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上传本市（区）评选文明校园和确定创建全国文明校园先进学校的情况（说明报告）。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⑤上传加强本地文明校园动态管理的情况（说明报告），以及省级文明办、教育部门对本地所属全国文明校园进行督导检查的测评报告（规范文件），各级文明校园每年的考评得分不低于85分。</w:t>
            </w:r>
          </w:p>
        </w:tc>
        <w:tc>
          <w:tcPr>
            <w:tcW w:w="4530" w:type="dxa"/>
            <w:vAlign w:val="center"/>
          </w:tcPr>
          <w:p>
            <w:pPr>
              <w:widowControl/>
              <w:spacing w:line="26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上传加强本地文明校园动态管理的情况（说明报告），以及省级文明办、教育部门对本地所属全国文明校园进行督导检查的测评报告（规范文件）。</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10）中小学校、幼儿园加强校园安全管理有具体方案，有实际效果。</w:t>
            </w: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①上传本市（区）建立健全中小学校、幼儿园安全管理机制的工作安排（规范文件）。</w:t>
            </w:r>
          </w:p>
        </w:tc>
        <w:tc>
          <w:tcPr>
            <w:tcW w:w="4530" w:type="dxa"/>
            <w:vAlign w:val="center"/>
          </w:tcPr>
          <w:p>
            <w:pPr>
              <w:widowControl/>
              <w:spacing w:line="26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上传本市（区）建立健全中小学校、幼儿园安全管理机制的工作安排（规范文件）。</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②上传本市（区）中小学校、幼儿园加强安全管理和教育的情况，包括是否发生卫生、安全、人</w:t>
            </w:r>
            <w:r>
              <w:rPr>
                <w:rFonts w:hint="eastAsia" w:ascii="仿宋" w:hAnsi="仿宋" w:eastAsia="仿宋" w:cs="仿宋"/>
                <w:spacing w:val="-6"/>
                <w:kern w:val="0"/>
                <w:sz w:val="18"/>
                <w:szCs w:val="18"/>
              </w:rPr>
              <w:t>身伤害等责任事故和校园欺凌行为预防治理的材料（说明报告）。</w:t>
            </w:r>
          </w:p>
        </w:tc>
        <w:tc>
          <w:tcPr>
            <w:tcW w:w="4530" w:type="dxa"/>
            <w:vAlign w:val="center"/>
          </w:tcPr>
          <w:p>
            <w:pPr>
              <w:widowControl/>
              <w:spacing w:line="26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上传本市（区）中小学校、幼儿园加强安全管理和教育的情况，包括是否发生卫生、安全、人身伤害等责任事故和校园欺凌行为预防治理的材料（说明报告）。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③上传本市（区）中小学校、幼儿园开展爱国卫生运动，加强健康教育和生命教育，引导未成年人增强讲文明、讲卫生、防疾病的意识，养成文明行为习惯和生活方式的有关材料（说明报告）。</w:t>
            </w:r>
          </w:p>
        </w:tc>
        <w:tc>
          <w:tcPr>
            <w:tcW w:w="4530" w:type="dxa"/>
          </w:tcPr>
          <w:p>
            <w:pPr>
              <w:widowControl/>
              <w:spacing w:line="260" w:lineRule="exact"/>
              <w:ind w:left="42" w:leftChars="20" w:right="42" w:rightChars="20"/>
              <w:jc w:val="left"/>
              <w:rPr>
                <w:rFonts w:ascii="仿宋" w:hAnsi="仿宋" w:eastAsia="仿宋" w:cs="仿宋"/>
                <w:sz w:val="18"/>
                <w:szCs w:val="18"/>
              </w:rPr>
            </w:pPr>
            <w:r>
              <w:rPr>
                <w:rFonts w:hint="eastAsia" w:ascii="仿宋" w:hAnsi="仿宋" w:eastAsia="仿宋" w:cs="仿宋"/>
                <w:kern w:val="0"/>
                <w:sz w:val="18"/>
                <w:szCs w:val="18"/>
              </w:rPr>
              <w:t>上传本市（区）中小学校、幼儿园开展爱国卫生运动，加强健康教育和生命教育，引导未成年人增强讲文明、讲卫生、防疾病的意识，养成文明行为习惯和生活方式的有关材料（说明报告）。</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288"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4.家庭教育</w:t>
            </w:r>
          </w:p>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和社会教育</w:t>
            </w: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1）中小学校建立家长委员会，社区建立家长学校或家庭教育指导服务站点。</w:t>
            </w: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上传本市（区）加强家校联系，中小学校建立家长委员会；社区建立家长学校或家庭教育指导服务站点，开展家庭教育培训和指导服务的情况（说明报告,学校、社区各1份）。</w:t>
            </w:r>
          </w:p>
        </w:tc>
        <w:tc>
          <w:tcPr>
            <w:tcW w:w="4530" w:type="dxa"/>
          </w:tcPr>
          <w:p>
            <w:pPr>
              <w:widowControl/>
              <w:spacing w:line="260" w:lineRule="exact"/>
              <w:ind w:left="42" w:leftChars="20" w:right="42" w:rightChars="20"/>
              <w:jc w:val="left"/>
              <w:rPr>
                <w:rFonts w:ascii="仿宋" w:hAnsi="仿宋" w:eastAsia="仿宋" w:cs="仿宋"/>
                <w:sz w:val="18"/>
                <w:szCs w:val="18"/>
              </w:rPr>
            </w:pPr>
            <w:r>
              <w:rPr>
                <w:rFonts w:hint="eastAsia" w:ascii="仿宋" w:hAnsi="仿宋" w:eastAsia="仿宋" w:cs="仿宋"/>
                <w:kern w:val="0"/>
                <w:sz w:val="18"/>
                <w:szCs w:val="18"/>
              </w:rPr>
              <w:t>上传本市（区）加强家校联系，中小学校建立家长委员会；社区建立家长学校或家庭教育指导服务站点，开展家庭教育培训和指导服务的情况（说明报告,学校、社区各1份）。</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3）爱国主义教育基地和公益性文化设施免费接纳未成年人参观学习有安排、有效果。</w:t>
            </w: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上传本市（区）落实爱国主义教育基地和公益性文化设施向未成年人免费开放和开设未成年人专场的工作措施以及提供服务、组织活动等情况（说明报告）。</w:t>
            </w:r>
          </w:p>
        </w:tc>
        <w:tc>
          <w:tcPr>
            <w:tcW w:w="4530" w:type="dxa"/>
          </w:tcPr>
          <w:p>
            <w:pPr>
              <w:widowControl/>
              <w:spacing w:line="260" w:lineRule="exact"/>
              <w:ind w:left="42" w:leftChars="20" w:right="42" w:rightChars="20"/>
              <w:jc w:val="left"/>
              <w:rPr>
                <w:rFonts w:ascii="仿宋" w:hAnsi="仿宋" w:eastAsia="仿宋" w:cs="仿宋"/>
                <w:sz w:val="18"/>
                <w:szCs w:val="18"/>
              </w:rPr>
            </w:pPr>
            <w:r>
              <w:rPr>
                <w:rFonts w:hint="eastAsia" w:ascii="仿宋" w:hAnsi="仿宋" w:eastAsia="仿宋" w:cs="仿宋"/>
                <w:kern w:val="0"/>
                <w:sz w:val="18"/>
                <w:szCs w:val="18"/>
              </w:rPr>
              <w:t>上传本市（区）落实爱国主义教育基地和公益性文化设施向未成年人免费开放和开设未成年人专场的工作措施以及提供服务、组织活动等情况（说明报告）。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4）有校外未成年人心理健康辅导站（点），运用面询、授课、电话、网络等多种形式开展教育引导。</w:t>
            </w: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建设成长指导中心、心理维护中心等未成年人心理健康辅导站，通过面询、授课、电话、网络等形式开展心理健康教育辅导工作的情况（说明报告）和图片（每种辅导形式1张，面询可不提供，总数3张，图片类型不限）。</w:t>
            </w:r>
          </w:p>
        </w:tc>
        <w:tc>
          <w:tcPr>
            <w:tcW w:w="4530" w:type="dxa"/>
          </w:tcPr>
          <w:p>
            <w:pPr>
              <w:widowControl/>
              <w:spacing w:line="260" w:lineRule="exact"/>
              <w:ind w:left="42" w:leftChars="20" w:right="42" w:rightChars="20"/>
              <w:jc w:val="left"/>
              <w:rPr>
                <w:rFonts w:ascii="仿宋" w:hAnsi="仿宋" w:eastAsia="仿宋" w:cs="仿宋"/>
                <w:sz w:val="18"/>
                <w:szCs w:val="18"/>
              </w:rPr>
            </w:pPr>
            <w:r>
              <w:rPr>
                <w:rFonts w:hint="eastAsia" w:ascii="仿宋" w:hAnsi="仿宋" w:eastAsia="仿宋" w:cs="仿宋"/>
                <w:kern w:val="0"/>
                <w:sz w:val="18"/>
                <w:szCs w:val="18"/>
              </w:rPr>
              <w:t>上传本市（区）建设成长指导中心、心理维护中心等未成年人心理健康辅导站，通过面询、授课、电话、网络等形式开展心理健康教育辅导工作的情况（说明报告）和图片（每种辅导形式1张，面询可不提供，总数3张，图片类型不限）。</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5）校外教育活动导向正确、规范有序。</w:t>
            </w: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spacing w:val="-6"/>
                <w:kern w:val="0"/>
                <w:sz w:val="18"/>
                <w:szCs w:val="18"/>
              </w:rPr>
              <w:t>上传本市（区）教育部门加强校外培训机构及活动管理的情况，包括是否存在背离主流价值的现象（说明报告）。</w:t>
            </w:r>
          </w:p>
        </w:tc>
        <w:tc>
          <w:tcPr>
            <w:tcW w:w="4530" w:type="dxa"/>
            <w:vAlign w:val="center"/>
          </w:tcPr>
          <w:p>
            <w:pPr>
              <w:widowControl/>
              <w:spacing w:line="260" w:lineRule="exact"/>
              <w:ind w:left="42" w:leftChars="20" w:right="42" w:rightChars="20"/>
              <w:jc w:val="left"/>
              <w:rPr>
                <w:rFonts w:ascii="仿宋" w:hAnsi="仿宋" w:eastAsia="仿宋" w:cs="仿宋"/>
                <w:sz w:val="18"/>
                <w:szCs w:val="18"/>
              </w:rPr>
            </w:pPr>
            <w:r>
              <w:rPr>
                <w:rFonts w:hint="eastAsia" w:ascii="仿宋" w:hAnsi="仿宋" w:eastAsia="仿宋" w:cs="仿宋"/>
                <w:kern w:val="0"/>
                <w:sz w:val="18"/>
                <w:szCs w:val="18"/>
              </w:rPr>
              <w:t>上传本市（区）教育部门加强校外培训机构及活动管理的情况，包括是否存在背离主流价值的现象（说明报告）。</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288"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5.营造良好社会文化环境</w:t>
            </w: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1）扎实推进乡村学校少年宫项目建设，探索推进乡村“复兴少年宫”建设，有管理制度、活动项目、经费保障和专兼职辅导员队伍。</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①上传本地乡村学校少年宫建设三年实现全覆盖的情况（主要考察覆盖率），以及乡村学校少年宫管理制度、活动项目、经费保障、专兼职辅导员等方面的情况（说明报告）。</w:t>
            </w:r>
          </w:p>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 xml:space="preserve">    注：进展情况包括落实中央专项彩票公益金支持项目和省级、市级自建乡村学校少年宫的情况。无中央专项彩票公益金支持项目的，对中央专项彩票公益金支持项目不作测评要求。三年的计算时间为一个创建周期的起始至结束，全覆盖指每个乡镇至少有1所乡村学校少年宫。直辖市城区不测此项内容。</w:t>
            </w:r>
          </w:p>
        </w:tc>
        <w:tc>
          <w:tcPr>
            <w:tcW w:w="453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①上传本地乡村学校少年宫建设三年实现全覆盖的情况（主要考察覆盖率），以及乡村学校少年宫管理制度、活动项目、经费保障、专兼职辅导员等方面的情况（说明报告）。</w:t>
            </w:r>
          </w:p>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 xml:space="preserve">    注：进展情况包括落实中央专项彩票公益金支持项目和省级、市级自建乡村学校少年宫的情况。无中央专项彩票公益金支持项目的，对中央专项彩票公益金支持项目不作测评要求。三年的计算时间为一个创建周期的起始至结束，全覆盖指每个乡镇至少有1所乡村学校少年宫。直辖市城区不测此项内容。</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②上传探索推进乡村“复兴少年宫”建设的情况（说明报告）。</w:t>
            </w:r>
          </w:p>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 xml:space="preserve">    注：开展试点建设的城市（区）提供此项内容。</w:t>
            </w:r>
          </w:p>
        </w:tc>
        <w:tc>
          <w:tcPr>
            <w:tcW w:w="453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②上传探索推进乡村“复兴少年宫”建设的情况（说明报告）。</w:t>
            </w:r>
          </w:p>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 xml:space="preserve">    注：开展试点建设的城市（区）提供此项内容。</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2）切实抓好县级青少年活动中心、市级示范性综合实践基地、研学实践教育基地（营地）、“青年之家”综合服务平台等青少年校外活动场所建设、管理、使用工作。</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上传本地县级青少年活动中心、市级示范性综合实践基地、研学实践教育基地（营地）、“青年之家”综合服务平台等青少年校外活动场所的建设、管理、使用情况（说明报告）。</w:t>
            </w:r>
          </w:p>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 xml:space="preserve">   注：根据本地实际进行说明，由当地教育行政部门、共青团等单位提供相关材料。</w:t>
            </w:r>
          </w:p>
        </w:tc>
        <w:tc>
          <w:tcPr>
            <w:tcW w:w="453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上传本地县级青少年活动中心、市级示范性综合实践基地、研学实践教育基地（营地）、“青年之家”综合服务平台等青少年校外活动场所的建设、管理、使用情况（说明报告）。</w:t>
            </w:r>
          </w:p>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 xml:space="preserve">   注：根据本地实际进行说明，由当地教育行政部门、共青团等单位提供相关材料。</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5）整治中小学校周边环境常态化、效果实。</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①上传本市（区）整治中小学校周边环境的工作安排（规范文件），如通知或方案等。</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①上传本市（区）整治中小学校周边环境的工作安排（规范文件），如通知或方案等。</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②上传本市（区）整治中小学校周边环境的情况（说明报告）。</w:t>
            </w:r>
          </w:p>
        </w:tc>
        <w:tc>
          <w:tcPr>
            <w:tcW w:w="4530" w:type="dxa"/>
            <w:vAlign w:val="center"/>
          </w:tcPr>
          <w:p>
            <w:pPr>
              <w:spacing w:line="280" w:lineRule="exact"/>
              <w:ind w:left="42" w:leftChars="20" w:right="42" w:rightChars="20"/>
              <w:rPr>
                <w:rFonts w:ascii="仿宋" w:hAnsi="仿宋" w:eastAsia="仿宋" w:cs="仿宋"/>
                <w:sz w:val="18"/>
                <w:szCs w:val="18"/>
              </w:rPr>
            </w:pPr>
            <w:r>
              <w:rPr>
                <w:rFonts w:hint="eastAsia" w:ascii="仿宋" w:hAnsi="仿宋" w:eastAsia="仿宋" w:cs="仿宋"/>
                <w:kern w:val="0"/>
                <w:sz w:val="18"/>
                <w:szCs w:val="18"/>
              </w:rPr>
              <w:t>②上传本市（区）整治中小学校周边环境的情况（说明报告）。</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color w:val="FF0000"/>
                <w:kern w:val="0"/>
                <w:sz w:val="18"/>
                <w:szCs w:val="18"/>
              </w:rPr>
              <w:t>略</w:t>
            </w:r>
          </w:p>
        </w:tc>
      </w:tr>
    </w:tbl>
    <w:p>
      <w:pPr>
        <w:rPr>
          <w:rFonts w:ascii="楷体_GB2312" w:eastAsia="楷体_GB2312"/>
          <w:sz w:val="24"/>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3-5）实施《国家学生体质健康标准》，落实体育课程和课时安排要求。</w:t>
      </w:r>
    </w:p>
    <w:p>
      <w:pPr>
        <w:pStyle w:val="2"/>
        <w:ind w:firstLine="560"/>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统计表格3-5）-1   参加测试的学校比例</w:t>
      </w:r>
    </w:p>
    <w:tbl>
      <w:tblPr>
        <w:tblStyle w:val="6"/>
        <w:tblW w:w="13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5246"/>
        <w:gridCol w:w="5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本市（区）中小学校总数</w:t>
            </w:r>
          </w:p>
        </w:tc>
        <w:tc>
          <w:tcPr>
            <w:tcW w:w="5246"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实施测试并将数据上报国家数据库的学校数量</w:t>
            </w:r>
          </w:p>
        </w:tc>
        <w:tc>
          <w:tcPr>
            <w:tcW w:w="5116"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上报学校占学校总数比例（%）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spacing w:line="360" w:lineRule="auto"/>
              <w:jc w:val="center"/>
              <w:rPr>
                <w:sz w:val="24"/>
              </w:rPr>
            </w:pPr>
          </w:p>
        </w:tc>
        <w:tc>
          <w:tcPr>
            <w:tcW w:w="5246" w:type="dxa"/>
          </w:tcPr>
          <w:p>
            <w:pPr>
              <w:spacing w:line="360" w:lineRule="auto"/>
              <w:jc w:val="center"/>
              <w:rPr>
                <w:sz w:val="24"/>
              </w:rPr>
            </w:pPr>
          </w:p>
        </w:tc>
        <w:tc>
          <w:tcPr>
            <w:tcW w:w="5116" w:type="dxa"/>
          </w:tcPr>
          <w:p>
            <w:pPr>
              <w:spacing w:line="360" w:lineRule="auto"/>
              <w:jc w:val="center"/>
              <w:rPr>
                <w:sz w:val="24"/>
              </w:rPr>
            </w:pPr>
          </w:p>
        </w:tc>
      </w:tr>
    </w:tbl>
    <w:p>
      <w:pP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统计表格3-5）-2  参加测试的学生比例</w:t>
      </w:r>
    </w:p>
    <w:tbl>
      <w:tblPr>
        <w:tblStyle w:val="6"/>
        <w:tblW w:w="13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5246"/>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中小学校学生数量</w:t>
            </w:r>
          </w:p>
        </w:tc>
        <w:tc>
          <w:tcPr>
            <w:tcW w:w="5246"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参加测试的学生数量</w:t>
            </w:r>
          </w:p>
        </w:tc>
        <w:tc>
          <w:tcPr>
            <w:tcW w:w="5101"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参加测试学生占学生总数的比例（%）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spacing w:line="360" w:lineRule="auto"/>
              <w:rPr>
                <w:rFonts w:ascii="仿宋_GB2312" w:hAnsi="仿宋_GB2312" w:eastAsia="仿宋_GB2312" w:cs="仿宋_GB2312"/>
                <w:sz w:val="24"/>
              </w:rPr>
            </w:pPr>
          </w:p>
        </w:tc>
        <w:tc>
          <w:tcPr>
            <w:tcW w:w="5246" w:type="dxa"/>
          </w:tcPr>
          <w:p>
            <w:pPr>
              <w:spacing w:line="360" w:lineRule="auto"/>
              <w:rPr>
                <w:rFonts w:ascii="仿宋_GB2312" w:hAnsi="仿宋_GB2312" w:eastAsia="仿宋_GB2312" w:cs="仿宋_GB2312"/>
                <w:sz w:val="24"/>
              </w:rPr>
            </w:pPr>
          </w:p>
        </w:tc>
        <w:tc>
          <w:tcPr>
            <w:tcW w:w="5101" w:type="dxa"/>
          </w:tcPr>
          <w:p>
            <w:pPr>
              <w:spacing w:line="360" w:lineRule="auto"/>
              <w:rPr>
                <w:rFonts w:ascii="仿宋_GB2312" w:hAnsi="仿宋_GB2312" w:eastAsia="仿宋_GB2312" w:cs="仿宋_GB2312"/>
                <w:sz w:val="24"/>
              </w:rPr>
            </w:pPr>
          </w:p>
        </w:tc>
      </w:tr>
    </w:tbl>
    <w:p>
      <w:pP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统计表格3-5）-3  合格学生的比例</w:t>
      </w:r>
    </w:p>
    <w:tbl>
      <w:tblPr>
        <w:tblStyle w:val="6"/>
        <w:tblW w:w="13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2641"/>
        <w:gridCol w:w="2605"/>
        <w:gridCol w:w="5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中小学校学生数量</w:t>
            </w:r>
          </w:p>
        </w:tc>
        <w:tc>
          <w:tcPr>
            <w:tcW w:w="2641"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参加测试的学生数量</w:t>
            </w:r>
          </w:p>
        </w:tc>
        <w:tc>
          <w:tcPr>
            <w:tcW w:w="2605"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达到合格的学生数量</w:t>
            </w:r>
          </w:p>
        </w:tc>
        <w:tc>
          <w:tcPr>
            <w:tcW w:w="5071"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合格学生占参加测试学生的比例（%）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spacing w:line="360" w:lineRule="auto"/>
              <w:rPr>
                <w:rFonts w:ascii="仿宋_GB2312" w:hAnsi="仿宋_GB2312" w:eastAsia="仿宋_GB2312" w:cs="仿宋_GB2312"/>
                <w:sz w:val="24"/>
              </w:rPr>
            </w:pPr>
          </w:p>
        </w:tc>
        <w:tc>
          <w:tcPr>
            <w:tcW w:w="2641" w:type="dxa"/>
          </w:tcPr>
          <w:p>
            <w:pPr>
              <w:spacing w:line="360" w:lineRule="auto"/>
              <w:rPr>
                <w:rFonts w:ascii="仿宋_GB2312" w:hAnsi="仿宋_GB2312" w:eastAsia="仿宋_GB2312" w:cs="仿宋_GB2312"/>
                <w:sz w:val="24"/>
              </w:rPr>
            </w:pPr>
          </w:p>
        </w:tc>
        <w:tc>
          <w:tcPr>
            <w:tcW w:w="2605" w:type="dxa"/>
          </w:tcPr>
          <w:p>
            <w:pPr>
              <w:spacing w:line="360" w:lineRule="auto"/>
              <w:rPr>
                <w:rFonts w:ascii="仿宋_GB2312" w:hAnsi="仿宋_GB2312" w:eastAsia="仿宋_GB2312" w:cs="仿宋_GB2312"/>
                <w:sz w:val="24"/>
              </w:rPr>
            </w:pPr>
          </w:p>
        </w:tc>
        <w:tc>
          <w:tcPr>
            <w:tcW w:w="5071" w:type="dxa"/>
          </w:tcPr>
          <w:p>
            <w:pPr>
              <w:spacing w:line="360" w:lineRule="auto"/>
              <w:rPr>
                <w:rFonts w:ascii="仿宋_GB2312" w:hAnsi="仿宋_GB2312" w:eastAsia="仿宋_GB2312" w:cs="仿宋_GB2312"/>
                <w:sz w:val="24"/>
              </w:rPr>
            </w:pPr>
          </w:p>
        </w:tc>
      </w:tr>
    </w:tbl>
    <w:p>
      <w:pPr>
        <w:rPr>
          <w:rFonts w:eastAsia="楷体_GB2312"/>
          <w:sz w:val="28"/>
          <w:szCs w:val="28"/>
        </w:rPr>
      </w:pPr>
      <w:r>
        <w:rPr>
          <w:rFonts w:hint="eastAsia" w:eastAsia="楷体_GB2312"/>
          <w:sz w:val="28"/>
          <w:szCs w:val="28"/>
        </w:rPr>
        <w:t>注：数据取自测评上一年度，对象为城区中小学校（含中职学校）。</w:t>
      </w:r>
    </w:p>
    <w:p>
      <w:pPr>
        <w:spacing w:line="240" w:lineRule="exact"/>
        <w:rPr>
          <w:rFonts w:ascii="楷体_GB2312" w:eastAsia="楷体_GB2312"/>
          <w:sz w:val="24"/>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3-6）中小学校开齐开足美育课程，有课时安排、有工作落实。</w:t>
      </w:r>
    </w:p>
    <w:p>
      <w:pPr>
        <w:pStyle w:val="2"/>
        <w:ind w:firstLine="560"/>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统计表格3-6）-1  参加中小学生艺术素质测评的学生和测评合格学生比例</w:t>
      </w:r>
    </w:p>
    <w:tbl>
      <w:tblPr>
        <w:tblStyle w:val="6"/>
        <w:tblW w:w="13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4"/>
        <w:gridCol w:w="5269"/>
        <w:gridCol w:w="5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本市（区）中小学生数量</w:t>
            </w:r>
          </w:p>
        </w:tc>
        <w:tc>
          <w:tcPr>
            <w:tcW w:w="5269"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参与测评的学生数量</w:t>
            </w:r>
          </w:p>
        </w:tc>
        <w:tc>
          <w:tcPr>
            <w:tcW w:w="5092"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测评合格的学生数量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dxa"/>
            <w:vMerge w:val="restart"/>
            <w:tcBorders>
              <w:bottom w:val="nil"/>
            </w:tcBorders>
          </w:tcPr>
          <w:p>
            <w:pPr>
              <w:spacing w:line="360" w:lineRule="auto"/>
              <w:jc w:val="center"/>
              <w:rPr>
                <w:rFonts w:ascii="仿宋_GB2312" w:hAnsi="仿宋_GB2312" w:eastAsia="仿宋_GB2312" w:cs="仿宋_GB2312"/>
                <w:sz w:val="24"/>
              </w:rPr>
            </w:pPr>
          </w:p>
        </w:tc>
        <w:tc>
          <w:tcPr>
            <w:tcW w:w="5269" w:type="dxa"/>
          </w:tcPr>
          <w:p>
            <w:pPr>
              <w:spacing w:line="360" w:lineRule="auto"/>
              <w:jc w:val="center"/>
              <w:rPr>
                <w:rFonts w:ascii="仿宋_GB2312" w:hAnsi="仿宋_GB2312" w:eastAsia="仿宋_GB2312" w:cs="仿宋_GB2312"/>
                <w:sz w:val="24"/>
              </w:rPr>
            </w:pPr>
          </w:p>
        </w:tc>
        <w:tc>
          <w:tcPr>
            <w:tcW w:w="5092" w:type="dxa"/>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dxa"/>
            <w:vMerge w:val="continue"/>
            <w:tcBorders>
              <w:bottom w:val="nil"/>
            </w:tcBorders>
          </w:tcPr>
          <w:p>
            <w:pPr>
              <w:spacing w:line="360" w:lineRule="auto"/>
              <w:jc w:val="center"/>
              <w:rPr>
                <w:rFonts w:ascii="仿宋_GB2312" w:hAnsi="仿宋_GB2312" w:eastAsia="仿宋_GB2312" w:cs="仿宋_GB2312"/>
                <w:sz w:val="24"/>
              </w:rPr>
            </w:pPr>
          </w:p>
        </w:tc>
        <w:tc>
          <w:tcPr>
            <w:tcW w:w="5269"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参与测评学生占学生总数的比例</w:t>
            </w:r>
          </w:p>
        </w:tc>
        <w:tc>
          <w:tcPr>
            <w:tcW w:w="5092"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合格学生占参与测评学生的比例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dxa"/>
            <w:vMerge w:val="continue"/>
          </w:tcPr>
          <w:p>
            <w:pPr>
              <w:spacing w:line="360" w:lineRule="auto"/>
              <w:jc w:val="center"/>
              <w:rPr>
                <w:rFonts w:ascii="仿宋_GB2312" w:hAnsi="仿宋_GB2312" w:eastAsia="仿宋_GB2312" w:cs="仿宋_GB2312"/>
                <w:sz w:val="24"/>
              </w:rPr>
            </w:pPr>
          </w:p>
        </w:tc>
        <w:tc>
          <w:tcPr>
            <w:tcW w:w="5269" w:type="dxa"/>
          </w:tcPr>
          <w:p>
            <w:pPr>
              <w:spacing w:line="360" w:lineRule="auto"/>
              <w:jc w:val="center"/>
              <w:rPr>
                <w:rFonts w:ascii="仿宋_GB2312" w:hAnsi="仿宋_GB2312" w:eastAsia="仿宋_GB2312" w:cs="仿宋_GB2312"/>
                <w:sz w:val="24"/>
              </w:rPr>
            </w:pPr>
          </w:p>
        </w:tc>
        <w:tc>
          <w:tcPr>
            <w:tcW w:w="5092" w:type="dxa"/>
          </w:tcPr>
          <w:p>
            <w:pPr>
              <w:spacing w:line="360" w:lineRule="auto"/>
              <w:jc w:val="center"/>
              <w:rPr>
                <w:rFonts w:ascii="仿宋_GB2312" w:hAnsi="仿宋_GB2312" w:eastAsia="仿宋_GB2312" w:cs="仿宋_GB2312"/>
                <w:sz w:val="24"/>
              </w:rPr>
            </w:pPr>
          </w:p>
        </w:tc>
      </w:tr>
    </w:tbl>
    <w:p>
      <w:pPr>
        <w:spacing w:line="160" w:lineRule="exact"/>
        <w:rPr>
          <w:rFonts w:ascii="黑体" w:eastAsia="黑体"/>
          <w:b/>
          <w:bCs/>
          <w:sz w:val="24"/>
          <w:u w:val="single"/>
        </w:rPr>
      </w:pPr>
    </w:p>
    <w:p>
      <w:pPr>
        <w:pStyle w:val="2"/>
        <w:spacing w:line="280" w:lineRule="exact"/>
        <w:ind w:firstLine="560"/>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统计表格3-6）-2  完成中小学校艺术教育工作自评工作的学校比例</w:t>
      </w:r>
    </w:p>
    <w:tbl>
      <w:tblPr>
        <w:tblStyle w:val="6"/>
        <w:tblW w:w="13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5250"/>
        <w:gridCol w:w="5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3"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本市（区）中小学总数</w:t>
            </w:r>
          </w:p>
        </w:tc>
        <w:tc>
          <w:tcPr>
            <w:tcW w:w="5250"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完成自评并上报数据的学校数量</w:t>
            </w:r>
          </w:p>
        </w:tc>
        <w:tc>
          <w:tcPr>
            <w:tcW w:w="5107"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完成自评学校占学校总数的比例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263" w:type="dxa"/>
          </w:tcPr>
          <w:p>
            <w:pPr>
              <w:spacing w:line="360" w:lineRule="auto"/>
              <w:jc w:val="center"/>
              <w:rPr>
                <w:rFonts w:ascii="仿宋_GB2312" w:hAnsi="仿宋_GB2312" w:eastAsia="仿宋_GB2312" w:cs="仿宋_GB2312"/>
                <w:sz w:val="24"/>
              </w:rPr>
            </w:pPr>
          </w:p>
        </w:tc>
        <w:tc>
          <w:tcPr>
            <w:tcW w:w="5250" w:type="dxa"/>
          </w:tcPr>
          <w:p>
            <w:pPr>
              <w:spacing w:line="360" w:lineRule="auto"/>
              <w:jc w:val="center"/>
              <w:rPr>
                <w:rFonts w:ascii="仿宋_GB2312" w:hAnsi="仿宋_GB2312" w:eastAsia="仿宋_GB2312" w:cs="仿宋_GB2312"/>
                <w:sz w:val="24"/>
              </w:rPr>
            </w:pPr>
          </w:p>
        </w:tc>
        <w:tc>
          <w:tcPr>
            <w:tcW w:w="5107" w:type="dxa"/>
          </w:tcPr>
          <w:p>
            <w:pPr>
              <w:spacing w:line="360" w:lineRule="auto"/>
              <w:jc w:val="center"/>
              <w:rPr>
                <w:rFonts w:ascii="仿宋_GB2312" w:hAnsi="仿宋_GB2312" w:eastAsia="仿宋_GB2312" w:cs="仿宋_GB2312"/>
                <w:sz w:val="24"/>
              </w:rPr>
            </w:pPr>
          </w:p>
        </w:tc>
      </w:tr>
    </w:tbl>
    <w:p>
      <w:pPr>
        <w:pStyle w:val="2"/>
        <w:spacing w:line="280" w:lineRule="exact"/>
        <w:ind w:firstLine="560"/>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统计表格3-6）-3  开齐开足美育课程学校比例</w:t>
      </w:r>
    </w:p>
    <w:tbl>
      <w:tblPr>
        <w:tblStyle w:val="6"/>
        <w:tblpPr w:leftFromText="180" w:rightFromText="180" w:vertAnchor="text" w:horzAnchor="page" w:tblpX="1456" w:tblpY="57"/>
        <w:tblOverlap w:val="never"/>
        <w:tblW w:w="13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5"/>
        <w:gridCol w:w="5235"/>
        <w:gridCol w:w="5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本市（区）中小学总数</w:t>
            </w:r>
          </w:p>
        </w:tc>
        <w:tc>
          <w:tcPr>
            <w:tcW w:w="5235"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开齐开足美育课程学校数量</w:t>
            </w:r>
          </w:p>
        </w:tc>
        <w:tc>
          <w:tcPr>
            <w:tcW w:w="5130"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开齐开足美育课程学校占学校总数的比例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tcPr>
          <w:p>
            <w:pPr>
              <w:spacing w:line="360" w:lineRule="auto"/>
              <w:jc w:val="center"/>
              <w:rPr>
                <w:rFonts w:ascii="仿宋_GB2312" w:hAnsi="仿宋_GB2312" w:eastAsia="仿宋_GB2312" w:cs="仿宋_GB2312"/>
                <w:sz w:val="24"/>
              </w:rPr>
            </w:pPr>
          </w:p>
        </w:tc>
        <w:tc>
          <w:tcPr>
            <w:tcW w:w="5235" w:type="dxa"/>
          </w:tcPr>
          <w:p>
            <w:pPr>
              <w:spacing w:line="360" w:lineRule="auto"/>
              <w:jc w:val="center"/>
              <w:rPr>
                <w:rFonts w:ascii="仿宋_GB2312" w:hAnsi="仿宋_GB2312" w:eastAsia="仿宋_GB2312" w:cs="仿宋_GB2312"/>
                <w:sz w:val="24"/>
              </w:rPr>
            </w:pPr>
          </w:p>
        </w:tc>
        <w:tc>
          <w:tcPr>
            <w:tcW w:w="5130" w:type="dxa"/>
          </w:tcPr>
          <w:p>
            <w:pPr>
              <w:spacing w:line="360" w:lineRule="auto"/>
              <w:jc w:val="center"/>
              <w:rPr>
                <w:rFonts w:ascii="仿宋_GB2312" w:hAnsi="仿宋_GB2312" w:eastAsia="仿宋_GB2312" w:cs="仿宋_GB2312"/>
                <w:sz w:val="24"/>
              </w:rPr>
            </w:pPr>
          </w:p>
        </w:tc>
      </w:tr>
    </w:tbl>
    <w:p>
      <w:pPr>
        <w:rPr>
          <w:rFonts w:eastAsia="楷体_GB2312"/>
          <w:sz w:val="28"/>
          <w:szCs w:val="28"/>
        </w:rPr>
        <w:sectPr>
          <w:headerReference r:id="rId3" w:type="default"/>
          <w:footerReference r:id="rId4" w:type="default"/>
          <w:pgSz w:w="16838" w:h="11906" w:orient="landscape"/>
          <w:pgMar w:top="1587" w:right="1531" w:bottom="1247" w:left="1531" w:header="851" w:footer="1134" w:gutter="0"/>
          <w:cols w:space="0" w:num="1"/>
          <w:docGrid w:type="lines" w:linePitch="318" w:charSpace="0"/>
        </w:sectPr>
      </w:pPr>
      <w:r>
        <w:rPr>
          <w:rFonts w:hint="eastAsia" w:eastAsia="楷体_GB2312"/>
          <w:sz w:val="28"/>
          <w:szCs w:val="28"/>
        </w:rPr>
        <w:t>注：数据取自测评当年，对象为城区中小学校（含中职学校）。</w:t>
      </w:r>
    </w:p>
    <w:p>
      <w:pPr>
        <w:pStyle w:val="2"/>
        <w:spacing w:after="160"/>
        <w:ind w:firstLine="0" w:firstLineChars="0"/>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未成年人思想道德建设工作测评实地测评内容</w:t>
      </w:r>
    </w:p>
    <w:tbl>
      <w:tblPr>
        <w:tblStyle w:val="6"/>
        <w:tblW w:w="13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2224"/>
        <w:gridCol w:w="8520"/>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测评</w:t>
            </w:r>
          </w:p>
          <w:p>
            <w:pPr>
              <w:jc w:val="center"/>
              <w:rPr>
                <w:rFonts w:ascii="黑体" w:hAnsi="黑体" w:eastAsia="黑体" w:cs="黑体"/>
                <w:sz w:val="24"/>
              </w:rPr>
            </w:pPr>
            <w:r>
              <w:rPr>
                <w:rFonts w:hint="eastAsia" w:ascii="黑体" w:hAnsi="黑体" w:eastAsia="黑体" w:cs="黑体"/>
                <w:sz w:val="24"/>
              </w:rPr>
              <w:t>项目</w:t>
            </w:r>
          </w:p>
        </w:tc>
        <w:tc>
          <w:tcPr>
            <w:tcW w:w="222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测评标准</w:t>
            </w:r>
          </w:p>
        </w:tc>
        <w:tc>
          <w:tcPr>
            <w:tcW w:w="85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实地考察要求</w:t>
            </w:r>
          </w:p>
        </w:tc>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67" w:type="dxa"/>
            <w:vMerge w:val="restart"/>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3.学校教育</w:t>
            </w:r>
          </w:p>
        </w:tc>
        <w:tc>
          <w:tcPr>
            <w:tcW w:w="2224"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1）培育和践行社会主义核心价值观进教材、进课堂、进头脑。</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中小学校：</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①中小学校校园、教室有社会主义核心价值观宣传；</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 xml:space="preserve">②学生熟知社会主义核心价值观的内容。   </w:t>
            </w:r>
          </w:p>
        </w:tc>
        <w:tc>
          <w:tcPr>
            <w:tcW w:w="19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textAlignment w:val="center"/>
            </w:pPr>
            <w:r>
              <w:rPr>
                <w:rFonts w:hint="eastAsia" w:ascii="仿宋" w:hAnsi="仿宋" w:eastAsia="仿宋" w:cs="仿宋"/>
                <w:kern w:val="0"/>
                <w:sz w:val="18"/>
                <w:szCs w:val="18"/>
              </w:rPr>
              <w:t>区教育局、各学校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067" w:type="dxa"/>
            <w:vMerge w:val="continue"/>
            <w:tcBorders>
              <w:left w:val="single" w:color="auto" w:sz="4" w:space="0"/>
              <w:right w:val="single" w:color="auto" w:sz="4" w:space="0"/>
            </w:tcBorders>
          </w:tcPr>
          <w:p>
            <w:pPr>
              <w:widowControl/>
              <w:spacing w:line="260" w:lineRule="exact"/>
              <w:ind w:left="42" w:leftChars="20" w:right="42" w:rightChars="20"/>
              <w:jc w:val="left"/>
              <w:textAlignment w:val="center"/>
              <w:rPr>
                <w:rFonts w:ascii="仿宋" w:hAnsi="仿宋" w:eastAsia="仿宋" w:cs="仿宋"/>
                <w:kern w:val="0"/>
                <w:sz w:val="18"/>
                <w:szCs w:val="18"/>
              </w:rPr>
            </w:pPr>
          </w:p>
        </w:tc>
        <w:tc>
          <w:tcPr>
            <w:tcW w:w="2224"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9）广泛开展文明校园创建活动，措施扎实，氛围浓厚，成效明显。</w:t>
            </w:r>
          </w:p>
        </w:tc>
        <w:tc>
          <w:tcPr>
            <w:tcW w:w="852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中小学校：</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①有反映文明校园创建工作安排和落实情况的文字、图片资料；</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②有反映文明校园创建、校风校训、校园文化的宣传标语、展板、文化墙等载体（每个方面至少有1处）。</w:t>
            </w:r>
          </w:p>
        </w:tc>
        <w:tc>
          <w:tcPr>
            <w:tcW w:w="1933" w:type="dxa"/>
            <w:vAlign w:val="center"/>
          </w:tcPr>
          <w:p>
            <w:pPr>
              <w:widowControl/>
              <w:spacing w:line="260" w:lineRule="exact"/>
              <w:ind w:left="42" w:leftChars="20" w:right="42"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067" w:type="dxa"/>
            <w:vMerge w:val="continue"/>
            <w:tcBorders>
              <w:left w:val="single" w:color="auto" w:sz="4" w:space="0"/>
              <w:bottom w:val="nil"/>
              <w:right w:val="single" w:color="auto" w:sz="4" w:space="0"/>
            </w:tcBorders>
          </w:tcPr>
          <w:p>
            <w:pPr>
              <w:widowControl/>
              <w:spacing w:line="260" w:lineRule="exact"/>
              <w:ind w:left="42" w:leftChars="20" w:right="42" w:rightChars="20"/>
              <w:jc w:val="left"/>
              <w:textAlignment w:val="center"/>
              <w:rPr>
                <w:rFonts w:ascii="仿宋" w:hAnsi="仿宋" w:eastAsia="仿宋" w:cs="仿宋"/>
                <w:kern w:val="0"/>
                <w:sz w:val="18"/>
                <w:szCs w:val="18"/>
              </w:rPr>
            </w:pPr>
          </w:p>
        </w:tc>
        <w:tc>
          <w:tcPr>
            <w:tcW w:w="2224" w:type="dxa"/>
            <w:tcBorders>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10）中小学校、幼儿园加强校园安全管理有实效。</w:t>
            </w:r>
          </w:p>
        </w:tc>
        <w:tc>
          <w:tcPr>
            <w:tcW w:w="8520" w:type="dxa"/>
            <w:tcBorders>
              <w:lef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中小学校、幼儿园：</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①校园环境整洁、秩序良好，无学生餐饮食品卫生质量问题和其他安全隐患，无乱扔纸屑、垃圾，乱堆杂物等现象；</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②有讲文明、讲卫生等方面的宣传提示、图片。</w:t>
            </w:r>
          </w:p>
        </w:tc>
        <w:tc>
          <w:tcPr>
            <w:tcW w:w="1933" w:type="dxa"/>
            <w:tcBorders>
              <w:left w:val="single" w:color="auto" w:sz="4" w:space="0"/>
            </w:tcBorders>
            <w:vAlign w:val="center"/>
          </w:tcPr>
          <w:p>
            <w:pPr>
              <w:widowControl/>
              <w:spacing w:line="260" w:lineRule="exact"/>
              <w:ind w:left="42" w:leftChars="20" w:right="42"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067" w:type="dxa"/>
            <w:vMerge w:val="restart"/>
            <w:tcBorders>
              <w:left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4.家庭教育和社会教育</w:t>
            </w:r>
          </w:p>
        </w:tc>
        <w:tc>
          <w:tcPr>
            <w:tcW w:w="2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3）爱国主义教育基地和公益性文化设施免费接纳未成年人参观学习有安排、有效果。</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公益性文化设施，如博物馆、纪念馆、爱国主义教育示范基地以及美术馆、公共图书馆、文化馆(站)、科技馆等：</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①未成年人进入公益性文化设施没有被收取任何费用；</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 xml:space="preserve">②公益性文化设施在显著位置公示服务项目、开放时间以及免费开放的详细情况。若有收费项目，列出收费项目内容和收费标准。   </w:t>
            </w:r>
          </w:p>
        </w:tc>
        <w:tc>
          <w:tcPr>
            <w:tcW w:w="19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067" w:type="dxa"/>
            <w:vMerge w:val="continue"/>
            <w:tcBorders>
              <w:left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p>
        </w:tc>
        <w:tc>
          <w:tcPr>
            <w:tcW w:w="2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5）校外教育活动导向正确、规范有序。</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校外培训机构：</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①有开展培训和活动的办学资质；</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②培训和活动的管理规定中有价值导向方面的要求；</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③场所环境符合安全条件；</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④主流媒体无有关培训和活动内容导向方面的负面报道。</w:t>
            </w:r>
          </w:p>
        </w:tc>
        <w:tc>
          <w:tcPr>
            <w:tcW w:w="19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067"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5.营造良好社会文化环境</w:t>
            </w:r>
          </w:p>
        </w:tc>
        <w:tc>
          <w:tcPr>
            <w:tcW w:w="2224"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5）整治中小学校周边环境常态化、效果实。</w:t>
            </w:r>
          </w:p>
        </w:tc>
        <w:tc>
          <w:tcPr>
            <w:tcW w:w="852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中小学校：校园周边200米内</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①无互联网上网服务营业场所（经营性网吧）；</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②无酒吧、歌厅、舞厅、卡拉OK厅、电子游戏厅、游艺厅、台球厅等营业性娱乐场所；</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③无非法行医或以人流、性病治疗业务为主的诊所；</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④无从事非法经营活动的游商和无证照摊点；</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⑤无烟、酒、彩票销售网点，无“三无食品”，无恐怖、迷信、低俗、色情的玩具、文具、饰品和出版物销售。</w:t>
            </w:r>
          </w:p>
        </w:tc>
        <w:tc>
          <w:tcPr>
            <w:tcW w:w="1933" w:type="dxa"/>
            <w:vAlign w:val="center"/>
          </w:tcPr>
          <w:p>
            <w:pPr>
              <w:widowControl/>
              <w:spacing w:line="260" w:lineRule="exact"/>
              <w:ind w:left="42" w:leftChars="20" w:right="42"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bl>
    <w:p>
      <w:pPr>
        <w:pStyle w:val="2"/>
        <w:ind w:firstLine="0" w:firstLineChars="0"/>
        <w:rPr>
          <w:rFonts w:ascii="Times New Roman" w:hAnsi="Times New Roman" w:eastAsia="楷体_GB2312"/>
          <w:color w:val="auto"/>
        </w:rPr>
        <w:sectPr>
          <w:pgSz w:w="16838" w:h="11906" w:orient="landscape"/>
          <w:pgMar w:top="1587" w:right="1531" w:bottom="1247" w:left="1531" w:header="851" w:footer="1134" w:gutter="0"/>
          <w:cols w:space="0" w:num="1"/>
          <w:docGrid w:type="lines" w:linePitch="318" w:charSpace="0"/>
        </w:sectPr>
      </w:pPr>
    </w:p>
    <w:p>
      <w:pPr>
        <w:pStyle w:val="2"/>
        <w:spacing w:after="160"/>
        <w:ind w:firstLine="0" w:firstLineChars="0"/>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未成年人思想道德建设工作测评问卷调查内容</w:t>
      </w:r>
    </w:p>
    <w:tbl>
      <w:tblPr>
        <w:tblStyle w:val="6"/>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6765"/>
        <w:gridCol w:w="5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测评项目</w:t>
            </w:r>
          </w:p>
        </w:tc>
        <w:tc>
          <w:tcPr>
            <w:tcW w:w="67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测评标准</w:t>
            </w:r>
          </w:p>
        </w:tc>
        <w:tc>
          <w:tcPr>
            <w:tcW w:w="586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问卷主要内容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395" w:type="dxa"/>
            <w:vMerge w:val="restart"/>
            <w:tcBorders>
              <w:top w:val="single" w:color="auto" w:sz="4" w:space="0"/>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2.思想道德教育实践活动</w:t>
            </w:r>
          </w:p>
        </w:tc>
        <w:tc>
          <w:tcPr>
            <w:tcW w:w="6765" w:type="dxa"/>
            <w:tcBorders>
              <w:top w:val="single" w:color="auto" w:sz="4" w:space="0"/>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1）未成年人熟知社会主义核心价值观“24个字”。</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对社会主义核心价值观的熟悉程度。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95" w:type="dxa"/>
            <w:vMerge w:val="continue"/>
            <w:tcBorders>
              <w:top w:val="single" w:color="auto" w:sz="4" w:space="0"/>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6）广泛开展学雷锋志愿服务活动，参与新时代文明实践中心建设。</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是否参加过学雷锋志愿服务活动。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395" w:type="dxa"/>
            <w:vMerge w:val="restart"/>
            <w:tcBorders>
              <w:top w:val="single" w:color="auto" w:sz="4" w:space="0"/>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3.学校教育</w:t>
            </w: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2）中小学思政课落实好、效果好，学校共青团、少先队组织健全、工作开展好。</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①中小学思政课和共青团、少先队活动是否有减少课时或被占用的现象。</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②是否参加过学校共青团、少先队活动。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3）中小学校加强师德师风建设有具体方案、有实际效果。</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①对教师师德和师风的评价；</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②中小学校是否有教师“课上不讲课后补习讲”的现象。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5）实施《国家学生体质健康标准》，落实体育课程设置和课时安排要求。</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①中小学体育课、体育大课间是否有安排；</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②体育课是否有减少课时或被占用的现象。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6)中小学校开齐开足美育课程，有课时安排、有工作落实。</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①中小学校音乐、美术等艺术教育课是否有安排；</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②音乐、美术等艺术教育课是否有减少课时或被占用现象。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9）广泛开展文明校园创建活动，措施扎实，氛围浓厚，成效明显。</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师生对文明校园创建的知晓率和满意度。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10）中小学校、幼儿园加强校园安全管理有具体方案，有实际效果。</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①对学校安全状况的评价；</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②学校是否存在霸凌现象。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95" w:type="dxa"/>
            <w:vMerge w:val="restart"/>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4.家庭教育</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和社会教育</w:t>
            </w: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2）社区有未成年人开展文体活动的场所、设施和活动安排。</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①所在社区是否有未成年人活动场所；</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②所在社区是否组织过面向未成年人的活动。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395" w:type="dxa"/>
            <w:vMerge w:val="continue"/>
            <w:tcBorders>
              <w:left w:val="single" w:color="auto" w:sz="4" w:space="0"/>
              <w:right w:val="single" w:color="auto" w:sz="4" w:space="0"/>
            </w:tcBorders>
          </w:tcPr>
          <w:p>
            <w:pPr>
              <w:widowControl/>
              <w:spacing w:line="280" w:lineRule="exact"/>
              <w:jc w:val="left"/>
              <w:textAlignment w:val="center"/>
              <w:rPr>
                <w:rFonts w:ascii="仿宋" w:hAnsi="仿宋" w:eastAsia="仿宋" w:cs="仿宋"/>
                <w:kern w:val="0"/>
                <w:sz w:val="18"/>
                <w:szCs w:val="18"/>
              </w:rPr>
            </w:pPr>
          </w:p>
        </w:tc>
        <w:tc>
          <w:tcPr>
            <w:tcW w:w="6765" w:type="dxa"/>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3）爱国主义教育基地和公益性文化设施免费接纳未成年人参观学习有安排、有效果。</w:t>
            </w:r>
          </w:p>
        </w:tc>
        <w:tc>
          <w:tcPr>
            <w:tcW w:w="5869" w:type="dxa"/>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是否到过本地爱国主义教育基地和公益性文化设施参观学习。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395" w:type="dxa"/>
            <w:vMerge w:val="restart"/>
            <w:tcBorders>
              <w:left w:val="single" w:color="auto" w:sz="4" w:space="0"/>
              <w:bottom w:val="nil"/>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5.营造良好社会文化环境</w:t>
            </w: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2）切实抓好县级青少年活动中心、市级示范性综合实践基地、研学实践教育基地（营地）、“青年之家”综合服务平台等青少年校外活动场所建设、管理、使用工作。</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是否到本地的青少年校外活动场所参加过文体、娱乐、科技或其他参观学习活动。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4）定期开展预防未成年人网络沉迷宣传教育，加强互联网上网服务营业场所管理，杜绝接纳未成年人的违规经营行为，取缔“黑网吧”。</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对本市（区）网吧管理的评价。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5）整治中小学校周边环境常态化、效果实。</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①对学校周边社会文化环境的评价；</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②学校周边是否存在涉校治安问题。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7）本市（区）主要新闻媒体、都市类媒体、网络媒体和社会媒介做好关爱保护未成年人健康成长的宣传。</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对本市（区）开展未成年人教育保护宣传工作的评价。</w:t>
            </w:r>
          </w:p>
        </w:tc>
      </w:tr>
    </w:tbl>
    <w:p>
      <w:pPr>
        <w:widowControl/>
        <w:spacing w:line="320" w:lineRule="exact"/>
        <w:jc w:val="left"/>
        <w:textAlignment w:val="center"/>
        <w:rPr>
          <w:rFonts w:ascii="方正仿宋简体" w:hAnsi="方正仿宋简体" w:eastAsia="方正仿宋简体" w:cs="方正仿宋简体"/>
          <w:kern w:val="0"/>
          <w:sz w:val="18"/>
          <w:szCs w:val="18"/>
        </w:rPr>
        <w:sectPr>
          <w:pgSz w:w="16838" w:h="11906" w:orient="landscape"/>
          <w:pgMar w:top="1701" w:right="1531" w:bottom="1417" w:left="1531" w:header="851" w:footer="992" w:gutter="0"/>
          <w:cols w:space="0" w:num="1"/>
          <w:docGrid w:type="lines" w:linePitch="318" w:charSpace="0"/>
        </w:sectPr>
      </w:pPr>
    </w:p>
    <w:p>
      <w:pPr>
        <w:spacing w:line="360" w:lineRule="auto"/>
        <w:ind w:firstLine="640" w:firstLineChars="200"/>
        <w:jc w:val="left"/>
        <w:rPr>
          <w:rFonts w:hint="eastAsia" w:ascii="仿宋_GB2312" w:hAnsi="仿宋" w:eastAsia="仿宋_GB2312" w:cs="仿宋"/>
          <w:color w:val="171A1D"/>
          <w:sz w:val="32"/>
          <w:szCs w:val="32"/>
          <w:shd w:val="clear" w:color="auto" w:fill="FFFFFF"/>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r>
        <w:rPr>
          <w:rFonts w:hint="eastAsia"/>
        </w:rPr>
        <w:pict>
          <v:shape id="_x0000_s2051" o:spid="_x0000_s2051" o:spt="32" type="#_x0000_t32" style="position:absolute;left:0pt;margin-left:16.5pt;margin-top:26.8pt;height:0pt;width:410.25pt;z-index:251659264;mso-width-relative:page;mso-height-relative:page;" o:connectortype="straight" filled="f" coordsize="21600,21600">
            <v:path arrowok="t"/>
            <v:fill on="f" focussize="0,0"/>
            <v:stroke/>
            <v:imagedata o:title=""/>
            <o:lock v:ext="edit"/>
          </v:shape>
        </w:pict>
      </w:r>
    </w:p>
    <w:p>
      <w:pPr>
        <w:pStyle w:val="2"/>
        <w:ind w:firstLine="560"/>
        <w:rPr>
          <w:rFonts w:hint="eastAsia" w:ascii="仿宋_GB2312" w:eastAsia="仿宋_GB2312"/>
        </w:rPr>
      </w:pPr>
      <w:r>
        <w:rPr>
          <w:rFonts w:hint="eastAsia" w:ascii="仿宋_GB2312" w:eastAsia="仿宋_GB2312"/>
        </w:rPr>
        <w:pict>
          <v:shape id="_x0000_s2052" o:spid="_x0000_s2052" o:spt="32" type="#_x0000_t32" style="position:absolute;left:0pt;margin-left:16.5pt;margin-top:39.05pt;height:0pt;width:410.25pt;z-index:251660288;mso-width-relative:page;mso-height-relative:page;" o:connectortype="straight" filled="f" coordsize="21600,21600">
            <v:path arrowok="t"/>
            <v:fill on="f" focussize="0,0"/>
            <v:stroke/>
            <v:imagedata o:title=""/>
            <o:lock v:ext="edit"/>
          </v:shape>
        </w:pict>
      </w:r>
      <w:r>
        <w:rPr>
          <w:rFonts w:hint="eastAsia" w:ascii="仿宋_GB2312" w:eastAsia="仿宋_GB2312"/>
        </w:rPr>
        <w:t>宁波市镇海区教育局                2021年6月24日印发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永中宋体">
    <w:altName w:val="宋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4"/>
                  <w:rPr>
                    <w:rStyle w:val="8"/>
                    <w:rFonts w:asciiTheme="minorEastAsia" w:hAnsiTheme="minorEastAsia" w:eastAsiaTheme="minorEastAsia" w:cstheme="minorEastAsia"/>
                    <w:sz w:val="28"/>
                    <w:szCs w:val="28"/>
                  </w:rPr>
                </w:pPr>
                <w:r>
                  <w:rPr>
                    <w:rStyle w:val="8"/>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Fonts w:hint="eastAsia" w:asciiTheme="minorEastAsia" w:hAnsiTheme="minorEastAsia" w:cstheme="minorEastAsia"/>
                    <w:sz w:val="28"/>
                    <w:szCs w:val="28"/>
                  </w:rPr>
                  <w:fldChar w:fldCharType="separate"/>
                </w:r>
                <w:r>
                  <w:rPr>
                    <w:rStyle w:val="8"/>
                    <w:rFonts w:asciiTheme="minorEastAsia" w:hAnsiTheme="minorEastAsia" w:eastAsiaTheme="minorEastAsia" w:cstheme="minorEastAsia"/>
                    <w:sz w:val="28"/>
                    <w:szCs w:val="28"/>
                  </w:rPr>
                  <w:t>1</w:t>
                </w:r>
                <w:r>
                  <w:rPr>
                    <w:rFonts w:hint="eastAsia" w:asciiTheme="minorEastAsia" w:hAnsiTheme="minorEastAsia" w:cstheme="minorEastAsia"/>
                    <w:sz w:val="28"/>
                    <w:szCs w:val="28"/>
                  </w:rPr>
                  <w:fldChar w:fldCharType="end"/>
                </w:r>
                <w:r>
                  <w:rPr>
                    <w:rStyle w:val="8"/>
                    <w:rFonts w:hint="eastAsia" w:asciiTheme="minorEastAsia" w:hAnsiTheme="minorEastAsia" w:eastAsiaTheme="minorEastAsia" w:cstheme="minorEastAsia"/>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8569A"/>
    <w:rsid w:val="00097C6B"/>
    <w:rsid w:val="002858EF"/>
    <w:rsid w:val="0034449D"/>
    <w:rsid w:val="003A27D3"/>
    <w:rsid w:val="003B248E"/>
    <w:rsid w:val="006644E1"/>
    <w:rsid w:val="00803BF3"/>
    <w:rsid w:val="00892856"/>
    <w:rsid w:val="008D2C7F"/>
    <w:rsid w:val="00D8569A"/>
    <w:rsid w:val="0CC60F17"/>
    <w:rsid w:val="0DBE1615"/>
    <w:rsid w:val="0F3F0825"/>
    <w:rsid w:val="2C8D4D30"/>
    <w:rsid w:val="2D68598F"/>
    <w:rsid w:val="3E0D0945"/>
    <w:rsid w:val="41B22A96"/>
    <w:rsid w:val="4DE52C56"/>
    <w:rsid w:val="4FC8480F"/>
    <w:rsid w:val="55445C7B"/>
    <w:rsid w:val="659350DC"/>
    <w:rsid w:val="67311A8C"/>
    <w:rsid w:val="68B003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1"/>
        <o:r id="V:Rule2" type="connector" idref="#_x0000_s205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rPr>
  </w:style>
  <w:style w:type="paragraph" w:styleId="3">
    <w:name w:val="Body Text Indent"/>
    <w:basedOn w:val="1"/>
    <w:qFormat/>
    <w:uiPriority w:val="0"/>
    <w:pPr>
      <w:widowControl/>
      <w:spacing w:line="580" w:lineRule="exact"/>
      <w:ind w:firstLine="600"/>
      <w:jc w:val="left"/>
    </w:pPr>
    <w:rPr>
      <w:rFonts w:ascii="黑体" w:hAnsi="宋体" w:eastAsia="黑体" w:cs="Times New Roman"/>
      <w:color w:val="000000"/>
      <w:kern w:val="0"/>
      <w:sz w:val="28"/>
      <w:szCs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rPr>
      <w:rFonts w:ascii="宋体" w:hAnsi="宋体" w:eastAsia="宋体"/>
      <w:color w:val="auto"/>
      <w:sz w:val="24"/>
    </w:rPr>
  </w:style>
  <w:style w:type="paragraph" w:customStyle="1" w:styleId="9">
    <w:name w:val="Char Char1 Char Char Char Char Char Char Char"/>
    <w:basedOn w:val="1"/>
    <w:qFormat/>
    <w:uiPriority w:val="0"/>
    <w:pPr>
      <w:widowControl/>
      <w:spacing w:after="160" w:line="240" w:lineRule="exact"/>
      <w:jc w:val="left"/>
    </w:pPr>
    <w:rPr>
      <w:rFonts w:ascii="Times New Roman" w:hAnsi="Times New Roman" w:cs="Times New Roman"/>
      <w:szCs w:val="22"/>
    </w:rPr>
  </w:style>
  <w:style w:type="character" w:customStyle="1" w:styleId="10">
    <w:name w:val="font71"/>
    <w:basedOn w:val="7"/>
    <w:qFormat/>
    <w:uiPriority w:val="0"/>
    <w:rPr>
      <w:rFonts w:ascii="永中宋体" w:hAnsi="永中宋体" w:eastAsia="永中宋体" w:cs="永中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C102D-8A83-4B36-A3CD-59147E68B88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3058</Words>
  <Characters>17436</Characters>
  <Lines>145</Lines>
  <Paragraphs>40</Paragraphs>
  <TotalTime>24</TotalTime>
  <ScaleCrop>false</ScaleCrop>
  <LinksUpToDate>false</LinksUpToDate>
  <CharactersWithSpaces>20454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胡艳</cp:lastModifiedBy>
  <dcterms:modified xsi:type="dcterms:W3CDTF">2021-06-28T03:00:37Z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