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kern w:val="0"/>
          <w:sz w:val="44"/>
          <w:szCs w:val="44"/>
          <w:lang w:eastAsia="zh-CN"/>
        </w:rPr>
      </w:pPr>
      <w:r>
        <w:rPr>
          <w:rFonts w:hint="eastAsia" w:ascii="方正小标宋简体" w:eastAsia="方正小标宋简体"/>
          <w:kern w:val="0"/>
          <w:sz w:val="44"/>
          <w:szCs w:val="44"/>
        </w:rPr>
        <w:t>宁波市镇海区</w:t>
      </w:r>
      <w:r>
        <w:rPr>
          <w:rFonts w:hint="eastAsia" w:ascii="方正小标宋简体" w:eastAsia="方正小标宋简体"/>
          <w:kern w:val="0"/>
          <w:sz w:val="44"/>
          <w:szCs w:val="44"/>
          <w:lang w:eastAsia="zh-CN"/>
        </w:rPr>
        <w:t>卫生健康局</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0"/>
        <w:rPr>
          <w:rFonts w:hint="eastAsia" w:ascii="方正小标宋简体" w:eastAsia="方正小标宋简体"/>
          <w:kern w:val="0"/>
          <w:sz w:val="44"/>
          <w:szCs w:val="44"/>
        </w:rPr>
      </w:pPr>
      <w:r>
        <w:rPr>
          <w:rFonts w:hint="eastAsia" w:ascii="方正小标宋简体" w:eastAsia="方正小标宋简体"/>
          <w:kern w:val="0"/>
          <w:sz w:val="44"/>
          <w:szCs w:val="44"/>
        </w:rPr>
        <w:t>2021年度政府信息公开工作年度报告</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总体情况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年，我局根据</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政府政务公开工作有关要求，按照以公开为常态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以不公开为例外的原则，扎实开展政务公开工作，对照政务公开测评体系各项指标，圆满完成了各项政务公开工作任务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现将工作情况总结如下：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hint="eastAsia" w:ascii="楷体_GB2312" w:hAnsi="楷体_GB2312" w:eastAsia="楷体_GB2312" w:cs="楷体_GB2312"/>
          <w:b/>
          <w:bCs/>
          <w:szCs w:val="32"/>
          <w:lang w:eastAsia="zh-CN"/>
        </w:rPr>
      </w:pPr>
      <w:r>
        <w:rPr>
          <w:rFonts w:hint="eastAsia" w:ascii="楷体_GB2312" w:hAnsi="楷体_GB2312" w:eastAsia="楷体_GB2312" w:cs="楷体_GB2312"/>
          <w:b/>
          <w:bCs/>
          <w:szCs w:val="32"/>
          <w:lang w:eastAsia="zh-CN"/>
        </w:rPr>
        <w:t>（一）主动公开情况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hint="eastAsia" w:ascii="Times New Roman" w:hAnsi="Times New Roman" w:cs="Times New Roman"/>
          <w:szCs w:val="32"/>
          <w:lang w:val="en-US" w:eastAsia="zh-CN"/>
        </w:rPr>
      </w:pPr>
      <w:r>
        <w:rPr>
          <w:rFonts w:hint="eastAsia" w:ascii="仿宋_GB2312" w:hAnsi="仿宋_GB2312" w:eastAsia="仿宋_GB2312" w:cs="仿宋_GB2312"/>
          <w:sz w:val="32"/>
          <w:szCs w:val="32"/>
        </w:rPr>
        <w:t>要求凡是属性为主动公开</w:t>
      </w:r>
      <w:r>
        <w:rPr>
          <w:rFonts w:hint="eastAsia" w:ascii="仿宋_GB2312" w:hAnsi="仿宋_GB2312" w:cs="仿宋_GB2312"/>
          <w:sz w:val="32"/>
          <w:szCs w:val="32"/>
          <w:lang w:eastAsia="zh-CN"/>
        </w:rPr>
        <w:t>、依申请公开</w:t>
      </w:r>
      <w:r>
        <w:rPr>
          <w:rFonts w:hint="eastAsia" w:ascii="仿宋_GB2312" w:hAnsi="仿宋_GB2312" w:eastAsia="仿宋_GB2312" w:cs="仿宋_GB2312"/>
          <w:sz w:val="32"/>
          <w:szCs w:val="32"/>
        </w:rPr>
        <w:t>的公文，须全部公开。通过官方微信</w:t>
      </w:r>
      <w:r>
        <w:rPr>
          <w:rFonts w:hint="eastAsia" w:ascii="仿宋_GB2312" w:hAnsi="仿宋_GB2312" w:eastAsia="仿宋_GB2312" w:cs="仿宋_GB2312"/>
          <w:sz w:val="32"/>
          <w:szCs w:val="32"/>
          <w:lang w:eastAsia="zh-CN"/>
        </w:rPr>
        <w:t>与疫情防控专栏</w:t>
      </w:r>
      <w:r>
        <w:rPr>
          <w:rFonts w:hint="eastAsia" w:ascii="仿宋_GB2312" w:hAnsi="仿宋_GB2312" w:eastAsia="仿宋_GB2312" w:cs="仿宋_GB2312"/>
          <w:sz w:val="32"/>
          <w:szCs w:val="32"/>
        </w:rPr>
        <w:t>，实时更新部门动态，</w:t>
      </w:r>
      <w:r>
        <w:rPr>
          <w:rFonts w:hint="eastAsia" w:ascii="仿宋_GB2312" w:hAnsi="仿宋_GB2312" w:eastAsia="仿宋_GB2312" w:cs="仿宋_GB2312"/>
          <w:sz w:val="32"/>
          <w:szCs w:val="32"/>
          <w:lang w:eastAsia="zh-CN"/>
        </w:rPr>
        <w:t>动态</w:t>
      </w:r>
      <w:r>
        <w:rPr>
          <w:rFonts w:hint="eastAsia" w:ascii="仿宋_GB2312" w:hAnsi="仿宋_GB2312" w:eastAsia="仿宋_GB2312" w:cs="仿宋_GB2312"/>
          <w:sz w:val="32"/>
          <w:szCs w:val="32"/>
        </w:rPr>
        <w:t>宣传我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卫生健康和</w:t>
      </w:r>
      <w:r>
        <w:rPr>
          <w:rFonts w:hint="eastAsia" w:ascii="仿宋_GB2312" w:hAnsi="仿宋_GB2312" w:eastAsia="仿宋_GB2312" w:cs="仿宋_GB2312"/>
          <w:sz w:val="32"/>
          <w:szCs w:val="32"/>
          <w:lang w:eastAsia="zh-CN"/>
        </w:rPr>
        <w:t>疫情防控等工作</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本年度</w:t>
      </w:r>
      <w:r>
        <w:rPr>
          <w:rFonts w:hint="eastAsia" w:ascii="Times New Roman" w:hAnsi="Times New Roman" w:cs="Times New Roman"/>
          <w:szCs w:val="32"/>
          <w:lang w:eastAsia="zh-CN"/>
        </w:rPr>
        <w:t>主动公开政府信息</w:t>
      </w:r>
      <w:r>
        <w:rPr>
          <w:rFonts w:hint="eastAsia" w:cs="Times New Roman"/>
          <w:szCs w:val="32"/>
          <w:lang w:val="en-US" w:eastAsia="zh-CN"/>
        </w:rPr>
        <w:t>1056</w:t>
      </w:r>
      <w:r>
        <w:rPr>
          <w:rFonts w:hint="eastAsia" w:ascii="Times New Roman" w:hAnsi="Times New Roman" w:cs="Times New Roman"/>
          <w:szCs w:val="32"/>
          <w:lang w:eastAsia="zh-CN"/>
        </w:rPr>
        <w:t>条（不同渠道和方式公开相同信息计1条），其中</w:t>
      </w:r>
      <w:r>
        <w:rPr>
          <w:rFonts w:hint="eastAsia" w:ascii="Times New Roman" w:hAnsi="Times New Roman" w:cs="Times New Roman"/>
          <w:szCs w:val="32"/>
          <w:lang w:val="en-US" w:eastAsia="zh-CN"/>
        </w:rPr>
        <w:t>政府网站公开</w:t>
      </w:r>
      <w:r>
        <w:rPr>
          <w:rFonts w:hint="eastAsia" w:cs="Times New Roman"/>
          <w:szCs w:val="32"/>
          <w:lang w:val="en-US" w:eastAsia="zh-CN"/>
        </w:rPr>
        <w:t>774</w:t>
      </w:r>
      <w:r>
        <w:rPr>
          <w:rFonts w:hint="eastAsia" w:ascii="Times New Roman" w:hAnsi="Times New Roman" w:cs="Times New Roman"/>
          <w:szCs w:val="32"/>
          <w:lang w:val="en-US" w:eastAsia="zh-CN"/>
        </w:rPr>
        <w:t>条，政务微信公开</w:t>
      </w:r>
      <w:r>
        <w:rPr>
          <w:rFonts w:hint="eastAsia" w:cs="Times New Roman"/>
          <w:szCs w:val="32"/>
          <w:lang w:val="en-US" w:eastAsia="zh-CN"/>
        </w:rPr>
        <w:t>288</w:t>
      </w:r>
      <w:r>
        <w:rPr>
          <w:rFonts w:hint="eastAsia" w:ascii="Times New Roman" w:hAnsi="Times New Roman" w:cs="Times New Roman"/>
          <w:szCs w:val="32"/>
          <w:lang w:val="en-US" w:eastAsia="zh-CN"/>
        </w:rPr>
        <w:t>条；回应网民问题</w:t>
      </w:r>
      <w:r>
        <w:rPr>
          <w:rFonts w:hint="eastAsia" w:cs="Times New Roman"/>
          <w:szCs w:val="32"/>
          <w:lang w:val="en-US" w:eastAsia="zh-CN"/>
        </w:rPr>
        <w:t>216</w:t>
      </w:r>
      <w:r>
        <w:rPr>
          <w:rFonts w:hint="eastAsia" w:ascii="Times New Roman" w:hAnsi="Times New Roman" w:cs="Times New Roman"/>
          <w:szCs w:val="32"/>
          <w:lang w:val="en-US" w:eastAsia="zh-CN"/>
        </w:rPr>
        <w:t>件次。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（二）依申请公开情况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本年度未收到政府信息公开申请</w:t>
      </w:r>
      <w:r>
        <w:rPr>
          <w:rFonts w:hint="eastAsia" w:ascii="仿宋_GB2312" w:hAnsi="仿宋_GB2312" w:eastAsia="仿宋_GB2312" w:cs="仿宋_GB2312"/>
          <w:sz w:val="32"/>
          <w:szCs w:val="32"/>
          <w:lang w:eastAsia="zh-CN"/>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（三）政府信息管理情况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hint="eastAsia" w:ascii="仿宋_GB2312" w:hAnsi="仿宋_GB2312" w:cs="仿宋_GB2312"/>
          <w:szCs w:val="32"/>
          <w:lang w:eastAsia="zh-CN"/>
        </w:rPr>
      </w:pPr>
      <w:r>
        <w:rPr>
          <w:rFonts w:hint="eastAsia" w:ascii="仿宋_GB2312" w:hAnsi="仿宋_GB2312" w:eastAsia="仿宋_GB2312" w:cs="仿宋_GB2312"/>
          <w:szCs w:val="32"/>
          <w:lang w:eastAsia="zh-CN"/>
        </w:rPr>
        <w:t>聚焦</w:t>
      </w:r>
      <w:r>
        <w:rPr>
          <w:rFonts w:hint="eastAsia" w:ascii="仿宋_GB2312" w:hAnsi="仿宋_GB2312" w:cs="仿宋_GB2312"/>
          <w:szCs w:val="32"/>
          <w:lang w:eastAsia="zh-CN"/>
        </w:rPr>
        <w:t>卫生健康重点工作，做好“从严从紧，全力打好疫情防控战”专栏建设，设置“头条快报”“最新发布”“相关政策”“医疗防护知识”“镇街动态”“高清大图”等6大版块，全面直观解读防疫政策知识，助力高水平打造健康之城。本年度专栏累计发布各类信息</w:t>
      </w:r>
      <w:r>
        <w:rPr>
          <w:rFonts w:hint="eastAsia" w:ascii="仿宋_GB2312" w:hAnsi="仿宋_GB2312" w:cs="仿宋_GB2312"/>
          <w:szCs w:val="32"/>
          <w:lang w:val="en-US" w:eastAsia="zh-CN"/>
        </w:rPr>
        <w:t>1</w:t>
      </w:r>
      <w:r>
        <w:rPr>
          <w:rFonts w:hint="eastAsia" w:ascii="仿宋_GB2312" w:hAnsi="仿宋_GB2312" w:cs="仿宋_GB2312"/>
          <w:szCs w:val="32"/>
          <w:lang w:eastAsia="zh-CN"/>
        </w:rPr>
        <w:t>000余条，总浏览量、点赞量、转发量逾五百万。2021年12月6日镇海疫情发生后，集中发布达765条，单条最高阅读量40.9万。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（四）政府信息公开平台建设情况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部门权力清单梳理、打造浙江政务服务网等工作，加强卫生行政部门行政许可、处罚等的公开工作。健全和完善各项行政处罚信息公开制度，将卫生行政处罚的相关信息每月定期在网站进行公示，内容严格按照规定格式。建立专人负责制，定期对信息内容进行及时更新并对网站进行维护。规范卫生行政审批事项的内容和流程，做到审批内容、申报材料、审批要件、审批流程、审批时间标准化、规范化，</w:t>
      </w:r>
      <w:r>
        <w:rPr>
          <w:rFonts w:hint="eastAsia" w:ascii="仿宋_GB2312" w:hAnsi="仿宋_GB2312" w:eastAsia="仿宋_GB2312" w:cs="仿宋_GB2312"/>
          <w:sz w:val="32"/>
          <w:szCs w:val="32"/>
          <w:lang w:eastAsia="zh-CN"/>
        </w:rPr>
        <w:t>全年办理行政许可事项2173件，按时办结率100%</w:t>
      </w:r>
      <w:r>
        <w:rPr>
          <w:rFonts w:hint="eastAsia" w:ascii="仿宋_GB2312" w:hAnsi="仿宋_GB2312" w:eastAsia="仿宋_GB2312" w:cs="仿宋_GB2312"/>
          <w:sz w:val="32"/>
          <w:szCs w:val="32"/>
          <w:lang w:val="en-US" w:eastAsia="zh-CN"/>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（五）政务新媒体管理方面</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《今日镇海》、镇海</w:t>
      </w:r>
      <w:r>
        <w:rPr>
          <w:rFonts w:hint="eastAsia" w:ascii="仿宋_GB2312" w:hAnsi="仿宋_GB2312" w:eastAsia="仿宋_GB2312" w:cs="仿宋_GB2312"/>
          <w:sz w:val="32"/>
          <w:szCs w:val="32"/>
        </w:rPr>
        <w:t>新闻网、</w:t>
      </w:r>
      <w:r>
        <w:rPr>
          <w:rFonts w:hint="eastAsia" w:ascii="仿宋_GB2312" w:hAnsi="仿宋_GB2312" w:eastAsia="仿宋_GB2312" w:cs="仿宋_GB2312"/>
          <w:sz w:val="32"/>
          <w:szCs w:val="32"/>
          <w:lang w:eastAsia="zh-CN"/>
        </w:rPr>
        <w:t>镇海</w:t>
      </w:r>
      <w:r>
        <w:rPr>
          <w:rFonts w:hint="eastAsia" w:ascii="仿宋_GB2312" w:hAnsi="仿宋_GB2312" w:eastAsia="仿宋_GB2312" w:cs="仿宋_GB2312"/>
          <w:sz w:val="32"/>
          <w:szCs w:val="32"/>
        </w:rPr>
        <w:t>电视台等媒体建立长期合作关系，健全完善了多管齐下、与时俱进的信息发布管理模式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年“健康镇海”微信公开信息2</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累计在各级媒体刊发报道</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60篇次，其中国家级</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余篇、省市级</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0余篇。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（六）监督保障方面</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成立政府政务公开工作领导小组，由局长任组长，其他班子成员任副组长，局机关科室负责人为成员。明确分管领导，局办公室统筹</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组人科</w:t>
      </w:r>
      <w:r>
        <w:rPr>
          <w:rFonts w:hint="eastAsia" w:ascii="仿宋_GB2312" w:hAnsi="仿宋_GB2312" w:eastAsia="仿宋_GB2312" w:cs="仿宋_GB2312"/>
          <w:sz w:val="32"/>
          <w:szCs w:val="32"/>
        </w:rPr>
        <w:t>、医政</w:t>
      </w:r>
      <w:r>
        <w:rPr>
          <w:rFonts w:hint="eastAsia" w:ascii="仿宋_GB2312" w:hAnsi="仿宋_GB2312" w:eastAsia="仿宋_GB2312" w:cs="仿宋_GB2312"/>
          <w:sz w:val="32"/>
          <w:szCs w:val="32"/>
          <w:lang w:eastAsia="zh-CN"/>
        </w:rPr>
        <w:t>科教</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财审科</w:t>
      </w:r>
      <w:r>
        <w:rPr>
          <w:rFonts w:hint="eastAsia" w:ascii="仿宋_GB2312" w:hAnsi="仿宋_GB2312" w:eastAsia="仿宋_GB2312" w:cs="仿宋_GB2312"/>
          <w:sz w:val="32"/>
          <w:szCs w:val="32"/>
        </w:rPr>
        <w:t>等科室共同配合。建立健全各项工作机制，注重信息时效性。按照“谁公开、谁审核、谁负责”的工作原则，进一步统一思想，明确任务。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二、主动公开政府信息情况</w:t>
      </w:r>
      <w:bookmarkStart w:id="0" w:name="_GoBack"/>
      <w:bookmarkEnd w:id="0"/>
    </w:p>
    <w:tbl>
      <w:tblPr>
        <w:tblStyle w:val="8"/>
        <w:tblpPr w:leftFromText="180" w:rightFromText="180" w:vertAnchor="text" w:horzAnchor="page" w:tblpXSpec="center" w:tblpY="85"/>
        <w:tblOverlap w:val="never"/>
        <w:tblW w:w="9563" w:type="dxa"/>
        <w:tblInd w:w="0" w:type="dxa"/>
        <w:tblLayout w:type="fixed"/>
        <w:tblCellMar>
          <w:top w:w="0" w:type="dxa"/>
          <w:left w:w="0" w:type="dxa"/>
          <w:bottom w:w="0" w:type="dxa"/>
          <w:right w:w="0" w:type="dxa"/>
        </w:tblCellMar>
      </w:tblPr>
      <w:tblGrid>
        <w:gridCol w:w="1953"/>
        <w:gridCol w:w="2435"/>
        <w:gridCol w:w="2435"/>
        <w:gridCol w:w="2740"/>
      </w:tblGrid>
      <w:tr>
        <w:tblPrEx>
          <w:tblLayout w:type="fixed"/>
          <w:tblCellMar>
            <w:top w:w="0" w:type="dxa"/>
            <w:left w:w="0" w:type="dxa"/>
            <w:bottom w:w="0" w:type="dxa"/>
            <w:right w:w="0" w:type="dxa"/>
          </w:tblCellMar>
        </w:tblPrEx>
        <w:trPr>
          <w:trHeight w:val="397" w:hRule="exact"/>
        </w:trPr>
        <w:tc>
          <w:tcPr>
            <w:tcW w:w="9563"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240" w:lineRule="exact"/>
              <w:jc w:val="center"/>
              <w:rPr>
                <w:kern w:val="0"/>
                <w:sz w:val="21"/>
                <w:szCs w:val="21"/>
              </w:rPr>
            </w:pPr>
            <w:r>
              <w:rPr>
                <w:rFonts w:hint="eastAsia"/>
                <w:kern w:val="0"/>
                <w:sz w:val="21"/>
                <w:szCs w:val="21"/>
              </w:rPr>
              <w:t>第二十条第（一）项</w:t>
            </w:r>
          </w:p>
        </w:tc>
      </w:tr>
      <w:tr>
        <w:tblPrEx>
          <w:tblLayout w:type="fixed"/>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本年废止件数</w:t>
            </w:r>
          </w:p>
        </w:tc>
        <w:tc>
          <w:tcPr>
            <w:tcW w:w="2740"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现行有效件数</w:t>
            </w:r>
          </w:p>
        </w:tc>
      </w:tr>
      <w:tr>
        <w:tblPrEx>
          <w:tblLayout w:type="fixed"/>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2740"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r>
      <w:tr>
        <w:tblPrEx>
          <w:tblLayout w:type="fixed"/>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2740" w:type="dxa"/>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r>
      <w:tr>
        <w:tblPrEx>
          <w:tblLayout w:type="fixed"/>
          <w:tblCellMar>
            <w:top w:w="0" w:type="dxa"/>
            <w:left w:w="0" w:type="dxa"/>
            <w:bottom w:w="0" w:type="dxa"/>
            <w:right w:w="0" w:type="dxa"/>
          </w:tblCellMar>
        </w:tblPrEx>
        <w:trPr>
          <w:trHeight w:val="397" w:hRule="exact"/>
        </w:trPr>
        <w:tc>
          <w:tcPr>
            <w:tcW w:w="9563"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240" w:lineRule="exact"/>
              <w:jc w:val="center"/>
              <w:rPr>
                <w:kern w:val="0"/>
                <w:sz w:val="21"/>
                <w:szCs w:val="21"/>
              </w:rPr>
            </w:pPr>
            <w:r>
              <w:rPr>
                <w:rFonts w:hint="eastAsia"/>
                <w:kern w:val="0"/>
                <w:sz w:val="21"/>
                <w:szCs w:val="21"/>
              </w:rPr>
              <w:t>第二十条第（五）项</w:t>
            </w:r>
          </w:p>
        </w:tc>
      </w:tr>
      <w:tr>
        <w:tblPrEx>
          <w:tblLayout w:type="fixed"/>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信息内容</w:t>
            </w:r>
          </w:p>
        </w:tc>
        <w:tc>
          <w:tcPr>
            <w:tcW w:w="7610" w:type="dxa"/>
            <w:gridSpan w:val="3"/>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本年处理决定数量</w:t>
            </w:r>
          </w:p>
        </w:tc>
      </w:tr>
      <w:tr>
        <w:tblPrEx>
          <w:tblLayout w:type="fixed"/>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行政许可</w:t>
            </w:r>
          </w:p>
        </w:tc>
        <w:tc>
          <w:tcPr>
            <w:tcW w:w="7610" w:type="dxa"/>
            <w:gridSpan w:val="3"/>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2173</w:t>
            </w:r>
            <w:r>
              <w:rPr>
                <w:kern w:val="0"/>
                <w:sz w:val="21"/>
                <w:szCs w:val="21"/>
              </w:rPr>
              <w:t> </w:t>
            </w:r>
          </w:p>
        </w:tc>
      </w:tr>
      <w:tr>
        <w:tblPrEx>
          <w:tblLayout w:type="fixed"/>
          <w:tblCellMar>
            <w:top w:w="0" w:type="dxa"/>
            <w:left w:w="0" w:type="dxa"/>
            <w:bottom w:w="0" w:type="dxa"/>
            <w:right w:w="0" w:type="dxa"/>
          </w:tblCellMar>
        </w:tblPrEx>
        <w:trPr>
          <w:trHeight w:val="397" w:hRule="exact"/>
        </w:trPr>
        <w:tc>
          <w:tcPr>
            <w:tcW w:w="9563"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240" w:lineRule="exact"/>
              <w:jc w:val="center"/>
              <w:rPr>
                <w:kern w:val="0"/>
                <w:sz w:val="21"/>
                <w:szCs w:val="21"/>
              </w:rPr>
            </w:pPr>
            <w:r>
              <w:rPr>
                <w:rFonts w:hint="eastAsia"/>
                <w:kern w:val="0"/>
                <w:sz w:val="21"/>
                <w:szCs w:val="21"/>
              </w:rPr>
              <w:t>第二十条第（六）项</w:t>
            </w:r>
          </w:p>
        </w:tc>
      </w:tr>
      <w:tr>
        <w:tblPrEx>
          <w:tblLayout w:type="fixed"/>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信息内容</w:t>
            </w:r>
          </w:p>
        </w:tc>
        <w:tc>
          <w:tcPr>
            <w:tcW w:w="7610"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本年处理决定数量</w:t>
            </w:r>
          </w:p>
        </w:tc>
      </w:tr>
      <w:tr>
        <w:tblPrEx>
          <w:tblLayout w:type="fixed"/>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行政处罚</w:t>
            </w:r>
          </w:p>
        </w:tc>
        <w:tc>
          <w:tcPr>
            <w:tcW w:w="7610" w:type="dxa"/>
            <w:gridSpan w:val="3"/>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253</w:t>
            </w:r>
            <w:r>
              <w:rPr>
                <w:rFonts w:hint="eastAsia"/>
                <w:kern w:val="0"/>
                <w:sz w:val="21"/>
                <w:szCs w:val="21"/>
              </w:rPr>
              <w:t>　</w:t>
            </w:r>
          </w:p>
        </w:tc>
      </w:tr>
      <w:tr>
        <w:tblPrEx>
          <w:tblLayout w:type="fixed"/>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行政强制</w:t>
            </w:r>
          </w:p>
        </w:tc>
        <w:tc>
          <w:tcPr>
            <w:tcW w:w="7610" w:type="dxa"/>
            <w:gridSpan w:val="3"/>
            <w:tcBorders>
              <w:top w:val="nil"/>
              <w:left w:val="nil"/>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Layout w:type="fixed"/>
          <w:tblCellMar>
            <w:top w:w="0" w:type="dxa"/>
            <w:left w:w="0" w:type="dxa"/>
            <w:bottom w:w="0" w:type="dxa"/>
            <w:right w:w="0" w:type="dxa"/>
          </w:tblCellMar>
        </w:tblPrEx>
        <w:trPr>
          <w:trHeight w:val="397" w:hRule="exact"/>
        </w:trPr>
        <w:tc>
          <w:tcPr>
            <w:tcW w:w="9563"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240" w:lineRule="exact"/>
              <w:jc w:val="center"/>
              <w:rPr>
                <w:kern w:val="0"/>
                <w:sz w:val="21"/>
                <w:szCs w:val="21"/>
              </w:rPr>
            </w:pPr>
            <w:r>
              <w:rPr>
                <w:rFonts w:hint="eastAsia"/>
                <w:kern w:val="0"/>
                <w:sz w:val="21"/>
                <w:szCs w:val="21"/>
              </w:rPr>
              <w:t>第二十条第（八）项</w:t>
            </w:r>
          </w:p>
        </w:tc>
      </w:tr>
      <w:tr>
        <w:tblPrEx>
          <w:tblLayout w:type="fixed"/>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信息内容</w:t>
            </w:r>
          </w:p>
        </w:tc>
        <w:tc>
          <w:tcPr>
            <w:tcW w:w="7610" w:type="dxa"/>
            <w:gridSpan w:val="3"/>
            <w:tcBorders>
              <w:top w:val="nil"/>
              <w:left w:val="nil"/>
              <w:bottom w:val="single" w:color="auto" w:sz="8" w:space="0"/>
              <w:right w:val="single" w:color="000000"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本年收费金额（单位：万元）</w:t>
            </w:r>
          </w:p>
        </w:tc>
      </w:tr>
      <w:tr>
        <w:tblPrEx>
          <w:tblLayout w:type="fixed"/>
          <w:tblCellMar>
            <w:top w:w="0" w:type="dxa"/>
            <w:left w:w="0" w:type="dxa"/>
            <w:bottom w:w="0" w:type="dxa"/>
            <w:right w:w="0" w:type="dxa"/>
          </w:tblCellMar>
        </w:tblPrEx>
        <w:trPr>
          <w:trHeight w:val="397" w:hRule="exac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240" w:lineRule="exact"/>
              <w:jc w:val="center"/>
              <w:rPr>
                <w:kern w:val="0"/>
                <w:sz w:val="21"/>
                <w:szCs w:val="21"/>
              </w:rPr>
            </w:pPr>
            <w:r>
              <w:rPr>
                <w:rFonts w:hint="eastAsia"/>
                <w:kern w:val="0"/>
                <w:sz w:val="21"/>
                <w:szCs w:val="21"/>
              </w:rPr>
              <w:t>行政事业性收费</w:t>
            </w:r>
          </w:p>
        </w:tc>
        <w:tc>
          <w:tcPr>
            <w:tcW w:w="7610" w:type="dxa"/>
            <w:gridSpan w:val="3"/>
            <w:tcBorders>
              <w:top w:val="nil"/>
              <w:left w:val="nil"/>
              <w:bottom w:val="single" w:color="auto" w:sz="8" w:space="0"/>
              <w:right w:val="single" w:color="000000" w:sz="8" w:space="0"/>
            </w:tcBorders>
            <w:noWrap w:val="0"/>
            <w:tcMar>
              <w:left w:w="57" w:type="dxa"/>
              <w:right w:w="57" w:type="dxa"/>
            </w:tcMar>
            <w:vAlign w:val="center"/>
          </w:tcPr>
          <w:p>
            <w:pPr>
              <w:spacing w:line="240" w:lineRule="exact"/>
              <w:jc w:val="center"/>
              <w:rPr>
                <w:rFonts w:hint="default" w:eastAsia="仿宋_GB2312"/>
                <w:kern w:val="0"/>
                <w:sz w:val="21"/>
                <w:szCs w:val="21"/>
                <w:lang w:val="en-US" w:eastAsia="zh-CN"/>
              </w:rPr>
            </w:pPr>
            <w:r>
              <w:rPr>
                <w:rFonts w:hint="eastAsia"/>
                <w:kern w:val="0"/>
                <w:sz w:val="21"/>
                <w:szCs w:val="21"/>
                <w:lang w:val="en-US" w:eastAsia="zh-CN"/>
              </w:rPr>
              <w:t>7.34</w:t>
            </w:r>
          </w:p>
        </w:tc>
      </w:tr>
    </w:tbl>
    <w:p>
      <w:pPr>
        <w:spacing w:line="300" w:lineRule="exact"/>
        <w:ind w:firstLine="632" w:firstLineChars="200"/>
        <w:rPr>
          <w:rFonts w:hint="eastAsia"/>
          <w:kern w:val="0"/>
          <w:sz w:val="32"/>
          <w:szCs w:val="32"/>
        </w:rPr>
      </w:pPr>
    </w:p>
    <w:p>
      <w:pPr>
        <w:spacing w:line="300" w:lineRule="exact"/>
        <w:ind w:firstLine="632" w:firstLineChars="200"/>
        <w:rPr>
          <w:rFonts w:hint="eastAsia" w:ascii="黑体" w:hAnsi="黑体" w:eastAsia="黑体" w:cs="黑体"/>
          <w:kern w:val="0"/>
          <w:sz w:val="32"/>
          <w:szCs w:val="32"/>
        </w:rPr>
      </w:pPr>
      <w:r>
        <w:rPr>
          <w:rFonts w:hint="eastAsia" w:ascii="黑体" w:hAnsi="黑体" w:eastAsia="黑体" w:cs="黑体"/>
          <w:kern w:val="0"/>
          <w:sz w:val="32"/>
          <w:szCs w:val="32"/>
        </w:rPr>
        <w:t>三、收到和处理政府信息公开申请情况</w:t>
      </w:r>
    </w:p>
    <w:tbl>
      <w:tblPr>
        <w:tblStyle w:val="8"/>
        <w:tblpPr w:leftFromText="180" w:rightFromText="180" w:vertAnchor="text" w:horzAnchor="page" w:tblpX="1340" w:tblpY="504"/>
        <w:tblOverlap w:val="never"/>
        <w:tblW w:w="959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88"/>
        <w:gridCol w:w="959"/>
        <w:gridCol w:w="2630"/>
        <w:gridCol w:w="642"/>
        <w:gridCol w:w="714"/>
        <w:gridCol w:w="714"/>
        <w:gridCol w:w="714"/>
        <w:gridCol w:w="714"/>
        <w:gridCol w:w="714"/>
        <w:gridCol w:w="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677" w:type="dxa"/>
            <w:gridSpan w:val="3"/>
            <w:vMerge w:val="restart"/>
            <w:noWrap w:val="0"/>
            <w:tcMar>
              <w:left w:w="108" w:type="dxa"/>
              <w:right w:w="108" w:type="dxa"/>
            </w:tcMar>
            <w:vAlign w:val="center"/>
          </w:tcPr>
          <w:p>
            <w:pPr>
              <w:spacing w:line="240" w:lineRule="exact"/>
              <w:jc w:val="center"/>
              <w:rPr>
                <w:kern w:val="0"/>
                <w:sz w:val="21"/>
                <w:szCs w:val="21"/>
              </w:rPr>
            </w:pPr>
            <w:r>
              <w:rPr>
                <w:kern w:val="0"/>
                <w:sz w:val="21"/>
                <w:szCs w:val="21"/>
              </w:rPr>
              <w:t>（本列数据的勾稽关系为：第一项加第二项之和，等于第三项加第四项之和）</w:t>
            </w:r>
          </w:p>
        </w:tc>
        <w:tc>
          <w:tcPr>
            <w:tcW w:w="4913" w:type="dxa"/>
            <w:gridSpan w:val="7"/>
            <w:noWrap w:val="0"/>
            <w:tcMar>
              <w:left w:w="57" w:type="dxa"/>
              <w:right w:w="57" w:type="dxa"/>
            </w:tcMar>
            <w:vAlign w:val="center"/>
          </w:tcPr>
          <w:p>
            <w:pPr>
              <w:spacing w:line="240" w:lineRule="exact"/>
              <w:jc w:val="center"/>
              <w:rPr>
                <w:kern w:val="0"/>
                <w:sz w:val="21"/>
                <w:szCs w:val="21"/>
              </w:rPr>
            </w:pPr>
            <w:r>
              <w:rPr>
                <w:rFonts w:hint="eastAsia"/>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677"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自然人</w:t>
            </w:r>
          </w:p>
        </w:tc>
        <w:tc>
          <w:tcPr>
            <w:tcW w:w="3570" w:type="dxa"/>
            <w:gridSpan w:val="5"/>
            <w:noWrap w:val="0"/>
            <w:tcMar>
              <w:left w:w="108" w:type="dxa"/>
              <w:right w:w="108" w:type="dxa"/>
            </w:tcMar>
            <w:vAlign w:val="center"/>
          </w:tcPr>
          <w:p>
            <w:pPr>
              <w:spacing w:line="240" w:lineRule="exact"/>
              <w:jc w:val="center"/>
              <w:rPr>
                <w:kern w:val="0"/>
                <w:sz w:val="21"/>
                <w:szCs w:val="21"/>
              </w:rPr>
            </w:pPr>
            <w:r>
              <w:rPr>
                <w:rFonts w:hint="eastAsia"/>
                <w:kern w:val="0"/>
                <w:sz w:val="21"/>
                <w:szCs w:val="21"/>
              </w:rPr>
              <w:t>法人或其他组织</w:t>
            </w:r>
          </w:p>
        </w:tc>
        <w:tc>
          <w:tcPr>
            <w:tcW w:w="701" w:type="dxa"/>
            <w:vMerge w:val="restart"/>
            <w:noWrap w:val="0"/>
            <w:tcMar>
              <w:left w:w="108" w:type="dxa"/>
              <w:right w:w="108" w:type="dxa"/>
            </w:tcMar>
            <w:vAlign w:val="center"/>
          </w:tcPr>
          <w:p>
            <w:pPr>
              <w:spacing w:line="240" w:lineRule="exact"/>
              <w:jc w:val="center"/>
              <w:rPr>
                <w:kern w:val="0"/>
                <w:sz w:val="21"/>
                <w:szCs w:val="21"/>
              </w:rPr>
            </w:pPr>
            <w:r>
              <w:rPr>
                <w:rFonts w:hint="eastAsia"/>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677"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continue"/>
            <w:noWrap w:val="0"/>
            <w:tcMar>
              <w:left w:w="57" w:type="dxa"/>
              <w:right w:w="57" w:type="dxa"/>
            </w:tcMar>
            <w:vAlign w:val="center"/>
          </w:tcPr>
          <w:p>
            <w:pPr>
              <w:spacing w:line="240" w:lineRule="exact"/>
              <w:jc w:val="center"/>
              <w:rPr>
                <w:rFonts w:hint="eastAsia"/>
                <w:kern w:val="0"/>
                <w:sz w:val="21"/>
                <w:szCs w:val="21"/>
              </w:rPr>
            </w:pP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商业</w:t>
            </w:r>
          </w:p>
          <w:p>
            <w:pPr>
              <w:spacing w:line="240" w:lineRule="exact"/>
              <w:jc w:val="center"/>
              <w:rPr>
                <w:kern w:val="0"/>
                <w:sz w:val="21"/>
                <w:szCs w:val="21"/>
              </w:rPr>
            </w:pPr>
            <w:r>
              <w:rPr>
                <w:rFonts w:hint="eastAsia"/>
                <w:kern w:val="0"/>
                <w:sz w:val="21"/>
                <w:szCs w:val="21"/>
              </w:rPr>
              <w:t>企业</w:t>
            </w: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科研</w:t>
            </w:r>
          </w:p>
          <w:p>
            <w:pPr>
              <w:spacing w:line="240" w:lineRule="exact"/>
              <w:jc w:val="center"/>
              <w:rPr>
                <w:kern w:val="0"/>
                <w:sz w:val="21"/>
                <w:szCs w:val="21"/>
              </w:rPr>
            </w:pPr>
            <w:r>
              <w:rPr>
                <w:rFonts w:hint="eastAsia"/>
                <w:kern w:val="0"/>
                <w:sz w:val="21"/>
                <w:szCs w:val="21"/>
              </w:rPr>
              <w:t>机构</w:t>
            </w: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社会公益组织</w:t>
            </w: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法律服务机构</w:t>
            </w:r>
          </w:p>
        </w:tc>
        <w:tc>
          <w:tcPr>
            <w:tcW w:w="714" w:type="dxa"/>
            <w:noWrap w:val="0"/>
            <w:tcMar>
              <w:left w:w="108" w:type="dxa"/>
              <w:right w:w="108" w:type="dxa"/>
            </w:tcMar>
            <w:vAlign w:val="center"/>
          </w:tcPr>
          <w:p>
            <w:pPr>
              <w:spacing w:line="240" w:lineRule="exact"/>
              <w:jc w:val="center"/>
              <w:rPr>
                <w:kern w:val="0"/>
                <w:sz w:val="21"/>
                <w:szCs w:val="21"/>
              </w:rPr>
            </w:pPr>
            <w:r>
              <w:rPr>
                <w:rFonts w:hint="eastAsia"/>
                <w:kern w:val="0"/>
                <w:sz w:val="21"/>
                <w:szCs w:val="21"/>
              </w:rPr>
              <w:t>其他</w:t>
            </w:r>
          </w:p>
        </w:tc>
        <w:tc>
          <w:tcPr>
            <w:tcW w:w="701" w:type="dxa"/>
            <w:vMerge w:val="continue"/>
            <w:noWrap w:val="0"/>
            <w:tcMar>
              <w:left w:w="108" w:type="dxa"/>
              <w:right w:w="108" w:type="dxa"/>
            </w:tcMar>
            <w:vAlign w:val="center"/>
          </w:tcPr>
          <w:p>
            <w:pPr>
              <w:spacing w:line="240" w:lineRule="exact"/>
              <w:jc w:val="center"/>
              <w:rPr>
                <w:rFonts w:hint="eastAsia"/>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677"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一、本年新收政府信息公开申请数量</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677"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二、上年结转政府信息公开申请数量</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三、本年度办理结果</w:t>
            </w: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（一）予以公开</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（二）部分公开（区分处理的，只计这一情形，不计其他情形）</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rPr>
              <w:t>（三）</w:t>
            </w:r>
          </w:p>
          <w:p>
            <w:pPr>
              <w:spacing w:line="240" w:lineRule="exact"/>
              <w:jc w:val="center"/>
              <w:rPr>
                <w:rFonts w:hint="eastAsia"/>
                <w:kern w:val="0"/>
                <w:sz w:val="21"/>
                <w:szCs w:val="21"/>
              </w:rPr>
            </w:pPr>
            <w:r>
              <w:rPr>
                <w:rFonts w:hint="eastAsia"/>
                <w:kern w:val="0"/>
                <w:sz w:val="21"/>
                <w:szCs w:val="21"/>
              </w:rPr>
              <w:t>不予</w:t>
            </w:r>
          </w:p>
          <w:p>
            <w:pPr>
              <w:spacing w:line="240" w:lineRule="exact"/>
              <w:jc w:val="center"/>
              <w:rPr>
                <w:kern w:val="0"/>
                <w:sz w:val="21"/>
                <w:szCs w:val="21"/>
              </w:rPr>
            </w:pPr>
            <w:r>
              <w:rPr>
                <w:rFonts w:hint="eastAsia"/>
                <w:kern w:val="0"/>
                <w:sz w:val="21"/>
                <w:szCs w:val="21"/>
              </w:rPr>
              <w:t>公开</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1.属于国家秘密</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2.其他法律行政法规禁止公开</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jc w:val="center"/>
              <w:rPr>
                <w:kern w:val="0"/>
                <w:sz w:val="21"/>
                <w:szCs w:val="21"/>
              </w:rPr>
            </w:pPr>
            <w:r>
              <w:rPr>
                <w:rFonts w:hint="eastAsia"/>
                <w:kern w:val="0"/>
                <w:sz w:val="21"/>
                <w:szCs w:val="21"/>
              </w:rPr>
              <w:t>3.危及“三安全一稳定”</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4.保护第三方合法权益</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5.属于三类内部事务信息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6.属于四类过程性信息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7.属于行政执法案卷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8.属于行政查询事项</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（四）无法提供</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1.本机关不掌握相关政府信息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2.没有现成信息需要另行制作</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3.补正后申请内容仍不明确</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（五）不予处理</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1.信访举报投诉类申请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2.重复申请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3.要求提供公开出版物</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4.无正当理由大量反复申请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9" w:hRule="atLeast"/>
        </w:trPr>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5.要求行政机关确认或重新出具已获取信息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（六）其他处理</w:t>
            </w: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1.申请人无正当理由逾期不补正、行政机关不再处理其政府信息公开申请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2.申请人逾期未按收费通知要求缴纳费用、行政机关不再处理其政府信息公开申请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3.其他</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088"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（七）总计</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677"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四、结转下年度继续办理</w:t>
            </w:r>
          </w:p>
        </w:tc>
        <w:tc>
          <w:tcPr>
            <w:tcW w:w="642"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lang w:val="en-US" w:eastAsia="zh-CN"/>
              </w:rPr>
              <w:t>0</w:t>
            </w:r>
          </w:p>
        </w:tc>
      </w:tr>
    </w:tbl>
    <w:p>
      <w:pPr>
        <w:spacing w:line="300" w:lineRule="exact"/>
        <w:ind w:firstLine="412" w:firstLineChars="200"/>
        <w:rPr>
          <w:rFonts w:hint="eastAsia"/>
          <w:kern w:val="0"/>
          <w:sz w:val="21"/>
          <w:szCs w:val="21"/>
        </w:rPr>
      </w:pPr>
    </w:p>
    <w:p>
      <w:pPr>
        <w:spacing w:line="300" w:lineRule="exact"/>
        <w:ind w:firstLine="632" w:firstLineChars="200"/>
        <w:rPr>
          <w:rFonts w:hint="eastAsia" w:ascii="黑体" w:hAnsi="黑体" w:eastAsia="黑体" w:cs="黑体"/>
          <w:kern w:val="0"/>
          <w:sz w:val="32"/>
          <w:szCs w:val="32"/>
        </w:rPr>
      </w:pPr>
      <w:r>
        <w:rPr>
          <w:rFonts w:hint="eastAsia" w:ascii="黑体" w:hAnsi="黑体" w:eastAsia="黑体" w:cs="黑体"/>
          <w:kern w:val="0"/>
          <w:sz w:val="32"/>
          <w:szCs w:val="32"/>
        </w:rPr>
        <w:t>四、政府信息公开行政复议、行政诉讼情况</w:t>
      </w:r>
    </w:p>
    <w:p>
      <w:pPr>
        <w:spacing w:line="300" w:lineRule="exact"/>
        <w:ind w:firstLine="632" w:firstLineChars="200"/>
        <w:rPr>
          <w:rFonts w:hint="eastAsia" w:ascii="黑体" w:hAnsi="黑体" w:eastAsia="黑体" w:cs="黑体"/>
          <w:kern w:val="0"/>
          <w:sz w:val="32"/>
          <w:szCs w:val="32"/>
        </w:rPr>
      </w:pPr>
    </w:p>
    <w:tbl>
      <w:tblPr>
        <w:tblStyle w:val="8"/>
        <w:tblW w:w="9466"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35"/>
        <w:gridCol w:w="540"/>
        <w:gridCol w:w="649"/>
        <w:gridCol w:w="649"/>
        <w:gridCol w:w="650"/>
        <w:gridCol w:w="650"/>
        <w:gridCol w:w="576"/>
        <w:gridCol w:w="650"/>
        <w:gridCol w:w="650"/>
        <w:gridCol w:w="650"/>
        <w:gridCol w:w="650"/>
        <w:gridCol w:w="5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12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行政复议</w:t>
            </w:r>
          </w:p>
        </w:tc>
        <w:tc>
          <w:tcPr>
            <w:tcW w:w="6344"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3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31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未经复议直接起诉</w:t>
            </w:r>
          </w:p>
        </w:tc>
        <w:tc>
          <w:tcPr>
            <w:tcW w:w="317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3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5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7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7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635"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54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576"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kern w:val="0"/>
                <w:sz w:val="21"/>
                <w:szCs w:val="21"/>
              </w:rPr>
              <w:t> </w:t>
            </w:r>
            <w:r>
              <w:rPr>
                <w:rFonts w:hint="eastAsia"/>
                <w:kern w:val="0"/>
                <w:sz w:val="21"/>
                <w:szCs w:val="21"/>
                <w:lang w:val="en-US" w:eastAsia="zh-CN"/>
              </w:rPr>
              <w:t>0</w:t>
            </w:r>
          </w:p>
        </w:tc>
        <w:tc>
          <w:tcPr>
            <w:tcW w:w="57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r>
              <w:rPr>
                <w:kern w:val="0"/>
                <w:sz w:val="21"/>
                <w:szCs w:val="21"/>
              </w:rPr>
              <w:t> </w:t>
            </w:r>
            <w:r>
              <w:rPr>
                <w:rFonts w:hint="eastAsia"/>
                <w:kern w:val="0"/>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从总体来看，</w:t>
      </w:r>
      <w:r>
        <w:rPr>
          <w:rFonts w:hint="eastAsia" w:ascii="仿宋_GB2312" w:hAnsi="仿宋_GB2312" w:cs="仿宋_GB2312"/>
          <w:sz w:val="32"/>
          <w:szCs w:val="32"/>
          <w:lang w:eastAsia="zh-CN"/>
        </w:rPr>
        <w:t>今年</w:t>
      </w:r>
      <w:r>
        <w:rPr>
          <w:rFonts w:hint="eastAsia" w:ascii="仿宋_GB2312" w:hAnsi="仿宋_GB2312" w:eastAsia="仿宋_GB2312" w:cs="仿宋_GB2312"/>
          <w:sz w:val="32"/>
          <w:szCs w:val="32"/>
        </w:rPr>
        <w:t>政务公开工作状况较好，但是存在政务公开内容深度和广度不够，公开信息的总量有限</w:t>
      </w:r>
      <w:r>
        <w:rPr>
          <w:rFonts w:hint="eastAsia" w:ascii="仿宋_GB2312" w:hAnsi="仿宋_GB2312" w:eastAsia="仿宋_GB2312" w:cs="仿宋_GB2312"/>
          <w:sz w:val="32"/>
          <w:szCs w:val="32"/>
          <w:lang w:eastAsia="zh-CN"/>
        </w:rPr>
        <w:t>等问题</w:t>
      </w:r>
      <w:r>
        <w:rPr>
          <w:rFonts w:hint="eastAsia" w:ascii="仿宋_GB2312" w:hAnsi="仿宋_GB2312" w:eastAsia="仿宋_GB2312" w:cs="仿宋_GB2312"/>
          <w:sz w:val="32"/>
          <w:szCs w:val="32"/>
        </w:rPr>
        <w:t>。将采取以下改进措施：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学习，进一步提高政府政务公开工作能力水平。认真对照《条例》规定的政府政务公开要求，加强对政务公开的范围、内容及规范、流程等学习培训，进一步提高信息公开的能力和水平。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加大宣传力度，</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提高公众对</w:t>
      </w:r>
      <w:r>
        <w:rPr>
          <w:rFonts w:hint="eastAsia" w:ascii="仿宋_GB2312" w:hAnsi="仿宋_GB2312" w:eastAsia="仿宋_GB2312" w:cs="仿宋_GB2312"/>
          <w:sz w:val="32"/>
          <w:szCs w:val="32"/>
          <w:lang w:eastAsia="zh-CN"/>
        </w:rPr>
        <w:t>卫健</w:t>
      </w:r>
      <w:r>
        <w:rPr>
          <w:rFonts w:hint="eastAsia" w:ascii="仿宋_GB2312" w:hAnsi="仿宋_GB2312" w:eastAsia="仿宋_GB2312" w:cs="仿宋_GB2312"/>
          <w:sz w:val="32"/>
          <w:szCs w:val="32"/>
        </w:rPr>
        <w:t>信息公开的知晓率。充分利用好政府政务公开网这一平台，实现政务公开信息化，切实提高办事透明度和行政效率，为公众提供更及时更准确的信息服务。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w:t>
      </w:r>
      <w:r>
        <w:rPr>
          <w:rFonts w:hint="eastAsia" w:ascii="仿宋_GB2312" w:hAnsi="仿宋_GB2312" w:eastAsia="仿宋_GB2312" w:cs="仿宋_GB2312"/>
          <w:sz w:val="32"/>
          <w:szCs w:val="32"/>
          <w:lang w:eastAsia="zh-CN"/>
        </w:rPr>
        <w:t>把好关口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进一步提升</w:t>
      </w:r>
      <w:r>
        <w:rPr>
          <w:rFonts w:hint="eastAsia" w:ascii="仿宋_GB2312" w:hAnsi="仿宋_GB2312" w:eastAsia="仿宋_GB2312" w:cs="仿宋_GB2312"/>
          <w:sz w:val="32"/>
          <w:szCs w:val="32"/>
        </w:rPr>
        <w:t>政务公开的质量。加强政务信息制作、获取、保存、处理等方面的制度建设，对政务信息进行全生命周期的规范管理。严格政务信息公开后管理制度，根据立、改、废等情况动态调整更新，切实保证发布的信息及时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其他需要报告的事项</w:t>
      </w:r>
    </w:p>
    <w:p>
      <w:pPr>
        <w:pStyle w:val="7"/>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32" w:firstLineChars="200"/>
        <w:jc w:val="both"/>
        <w:textAlignment w:val="auto"/>
        <w:rPr>
          <w:rFonts w:hint="eastAsia" w:ascii="Times New Roman" w:hAnsi="Times New Roman" w:cs="Times New Roman"/>
          <w:szCs w:val="32"/>
          <w:lang w:eastAsia="zh-CN"/>
        </w:rPr>
      </w:pPr>
      <w:r>
        <w:rPr>
          <w:rFonts w:hint="eastAsia" w:ascii="Times New Roman" w:hAnsi="Times New Roman" w:cs="Times New Roman"/>
          <w:szCs w:val="32"/>
          <w:lang w:eastAsia="zh-CN"/>
        </w:rPr>
        <w:t>根据国务院办公厅印发的《政府信息公开信息处理费管理办法》和浙江省政府办公厅、宁波市政府办公厅关于政府信息公开信息处理费收取工作的有关规定，报告年度内本</w:t>
      </w:r>
      <w:r>
        <w:rPr>
          <w:rFonts w:hint="eastAsia" w:cs="Times New Roman"/>
          <w:szCs w:val="32"/>
          <w:lang w:eastAsia="zh-CN"/>
        </w:rPr>
        <w:t>单位未受理</w:t>
      </w:r>
      <w:r>
        <w:rPr>
          <w:rFonts w:hint="eastAsia" w:ascii="Times New Roman" w:hAnsi="Times New Roman" w:cs="Times New Roman"/>
          <w:szCs w:val="32"/>
          <w:lang w:eastAsia="zh-CN"/>
        </w:rPr>
        <w:t>政府信息公开申请，故未向任何申请人收取信息处理费。后续将严格执行相关收费管理规定，依法保障公众知情权，维护政府信息公开工作秩序。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jc w:val="left"/>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jc w:val="left"/>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p>
    <w:p/>
    <w:sectPr>
      <w:headerReference r:id="rId3" w:type="default"/>
      <w:footerReference r:id="rId4" w:type="default"/>
      <w:pgSz w:w="11906" w:h="16838"/>
      <w:pgMar w:top="1701" w:right="1474" w:bottom="1701" w:left="1587" w:header="851" w:footer="992" w:gutter="0"/>
      <w:cols w:space="0" w:num="1"/>
      <w:rtlGutter w:val="0"/>
      <w:docGrid w:type="linesAndChars" w:linePitch="61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5428FC"/>
    <w:multiLevelType w:val="singleLevel"/>
    <w:tmpl w:val="9F5428F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58"/>
  <w:drawingGridVerticalSpacing w:val="3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D343A"/>
    <w:rsid w:val="1DC70495"/>
    <w:rsid w:val="250D343A"/>
    <w:rsid w:val="259B676D"/>
    <w:rsid w:val="3BBE5D12"/>
    <w:rsid w:val="46986146"/>
    <w:rsid w:val="4E1D4B12"/>
    <w:rsid w:val="705A6E88"/>
    <w:rsid w:val="72F6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next w:val="4"/>
    <w:unhideWhenUsed/>
    <w:qFormat/>
    <w:uiPriority w:val="99"/>
    <w:pPr>
      <w:spacing w:after="120"/>
      <w:ind w:left="420" w:leftChars="200"/>
    </w:pPr>
    <w:rPr>
      <w:rFonts w:hint="default"/>
      <w:sz w:val="21"/>
    </w:rPr>
  </w:style>
  <w:style w:type="paragraph" w:styleId="4">
    <w:name w:val="Normal Indent"/>
    <w:basedOn w:val="1"/>
    <w:qFormat/>
    <w:uiPriority w:val="0"/>
    <w:pPr>
      <w:ind w:firstLine="420" w:firstLineChars="200"/>
    </w:pPr>
    <w:rPr>
      <w:rFonts w:eastAsia="仿宋"/>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qFormat/>
    <w:uiPriority w:val="0"/>
    <w:pPr>
      <w:jc w:val="left"/>
    </w:pPr>
    <w:rPr>
      <w:rFonts w:eastAsia="仿宋_GB2312"/>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2022-01-06T02:06:00Z</dcterms:created>
  <dc:creator>刘春霞</dc:creator>
  <cp:lastModifiedBy>区卫生健康局</cp:lastModifiedBy>
  <cp:lastPrinted>2022-01-11T00:56:00Z</cp:lastPrinted>
  <dcterms:modified xsi:type="dcterms:W3CDTF">2022-01-19T06:17:09Z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